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1.xml" ContentType="application/vnd.openxmlformats-officedocument.wordprocessingml.header+xml"/>
  <Override PartName="/customXml/item1.xml" ContentType="application/xml"/>
  <Override PartName="/customXml/itemProps1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18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570"/>
      </w:tblGrid>
      <w:tr>
        <w:trPr/>
        <w:tc>
          <w:tcPr>
            <w:tcBorders/>
            <w:tcW w:w="5000" w:type="pc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5 к Контракту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500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объекта закупки (Техническое задание).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Bdr/>
        <w:spacing/>
        <w:ind/>
        <w:rPr/>
      </w:pPr>
      <w:r/>
      <w:bookmarkStart w:name="FirstTable" w:id="0"/>
      <w:r/>
      <w:bookmarkEnd w:id="0"/>
      <w:r/>
      <w:r/>
    </w:p>
    <w:tbl>
      <w:tblPr>
        <w:tblBorders/>
        <w:tblW w:w="14592" w:type="dxa"/>
        <w:tblLayout w:type="fixed"/>
        <w:tblInd w:w="0" w:type="dxa"/>
      </w:tblPr>
      <w:tblGrid>
        <w:gridCol w:w="1270"/>
        <w:gridCol w:w="13281"/>
      </w:tblGrid>
      <w:tr>
        <w:tc>
          <w:p/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rPr>
                <w:b w:val="true"/>
              </w:rPr>
              <w:t xml:space="preserve">I Раздел. Общие сведения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b/>
                <w:sz w:val="28"/>
              </w:rPr>
              <w:rPr>
                <w:b w:val="false"/>
              </w:rPr>
              <w:t xml:space="preserve">1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Наименование объекта закупки (далее  – Товар)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Поставка газодымозащитных комплектов для нужд Министерства сельского хозяйства и продовольствия Московской области</w:t>
              <w:br/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2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Коды и наименования ОКПД2 /КТРУ/ КОЗ2/ используемые при описании объекта закупки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ОКПД2 32.99.11.199-Средства индивидуальной защиты прочие, не включенные в другие группировки</w:t>
              <w:br/>
              <w:t xml:space="preserve">КТРУ 32.99.11.199-00000003-Самоспасатель пожарный изолирующий с химически связанным кислородом</w:t>
              <w:br/>
              <w:t xml:space="preserve">КОЗ2 11.103.01.03.01.01.009-Самоспасатель пожарный изолирующий с химически связанным кислородом</w:t>
              <w:br/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3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Количество поставляемого товара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В соответствии с разделом «Объекты закупки» приложения «Сведения об объектах закупки» к Контракту.</w:t>
              <w:br/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4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Место поставки товара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В соответствии с разделом «Место доставки товара» приложения «Сведения об обязательствах сторон и порядке оплаты» к Контракту.</w:t>
              <w:br/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rPr>
                <w:b w:val="true"/>
              </w:rPr>
              <w:t xml:space="preserve">II Раздел. Требования к порядку взаимодействия сторон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b/>
                <w:sz w:val="28"/>
              </w:rPr>
              <w:rPr>
                <w:b w:val="false"/>
              </w:rPr>
              <w:t xml:space="preserve"/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Порядок направления документов и решений, формируемых, принимаемых и реализуемых в ходе исполнения Контракта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1) если иное не определено требованиями действующего законодательства, Контрактом, направление уведомлений, требований в рамках исполнения Контракта, направление документов и решений, формируемых, принимаемых и реализуемых в ходе исполнения Контракта, включая документы и решения, подлежащие проверке Заказчиком на соответствие, Требованиям установленным в настоящем Техническом задании (далее - проверка), осуществляются Поставщиком и Заказчиком посредством обмена электронными сообщениями, документами, направляемыми на адреса электронной почты, указанной в разделе «Адреса, реквизиты и подписи Сторон» Контракта; </w:t>
              <w:br/>
              <w:t xml:space="preserve">2) электронные сообщения при направлении подлежат соблюдению требований настоящего Технического задания к формату представления данных (сведений, документов), если такие требования установлены;</w:t>
              <w:br/>
              <w:t xml:space="preserve">3) если иное не определено условиями Контракта, требованиями действующего законодательства, Технического задания, проверка осуществляется Заказчиком в течение 5 (пяти) рабочих дней со дня поступления обращений о проверке;</w:t>
              <w:br/>
              <w:t xml:space="preserve">4) при необходимости передачи сведений и документов, в том числе в целях их проверки, на бумажном носителе и (или) съемном электронном носителе информации Поставщик уточняет у Заказчика даты, время и место такой передачи;</w:t>
              <w:br/>
              <w:t xml:space="preserve">5) отсутствие подтверждения о соответствии требованиям настоящего Технического задания  (далее - Требования) Заказчиком в установленные Техническим заданием или контрактом сроки, не является основанием для признания представленных документов, решений и сведений, соответствующими Требованиям;</w:t>
              <w:br/>
              <w:t xml:space="preserve">6) отказ в соответствии Требованиям должен содержать указание на причины такого отказа и сроки их устранения.</w:t>
              <w:br/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rPr>
                <w:b w:val="true"/>
              </w:rPr>
              <w:t xml:space="preserve">III Раздел. Требования к условиям поставки товаров (выполнения работ, оказания услуг)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b/>
                <w:sz w:val="28"/>
              </w:rPr>
              <w:rPr>
                <w:b w:val="false"/>
              </w:rPr>
              <w:t xml:space="preserve">1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Общие требования к Товару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1. Поставляемый Товар должен:</w:t>
              <w:br/>
              <w:t xml:space="preserve">-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закупки;</w:t>
              <w:br/>
              <w:t xml:space="preserve">- соответствовать требованиям действующих государственных и международных стандартов и других нормативных актов Российской Федерации, требованиям безопасности, функциональным и качественным характеристикам для данной группы товаров, применяемых исключительно в действующей редакции, с учетом изменений и дополнений, а также согласно актам, указанным в IX Разделе настоящего Технического задания;</w:t>
              <w:br/>
              <w:t xml:space="preserve">- соответствовать по качеству и потребительским свойствам сертификатам, свидетельствам и паспортам качества производителей в соответствии с номенклатурой продукции, декларациям о соответствии, действующим на территории Российской Федерации (в случае если в отношении данной группы товаров установлено требование об обязательном подтверждении соответствия);</w:t>
              <w:br/>
              <w:t xml:space="preserve">2. В сопроводительной документации на Товар, на этикетке маркировкой или иным способом должны быть указаны специальные правила, если для безопасного использования Товара, его хранения, транспортировки их необходимо соблюдать.</w:t>
              <w:br/>
              <w:t xml:space="preserve">3. Уборка и вывоз тары, упаковки (включая вспомогательные упаковочные средства) производится силами Поставщика в соответствии с условиями Контракта.</w:t>
              <w:br/>
              <w:t xml:space="preserve">4. Поставляемый по Контракту Товар не должен находиться в залоге, под арестом или под иным обременением.</w:t>
              <w:br/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1.1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Дополнительные требования к Товару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Товар должен быть изготовлен не ранее 1 квартала 2026 года</w:t>
              <w:br/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2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Требования к безопасности и качеству Товара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1. Товар должен соответствовать требованиям безопасности, экологическим требованиям и техническим характеристикам в соответствии с нормативно-правовыми актами, указанными в пунктах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7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,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6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,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8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Раздела IX настоящего Технического задания.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2. Соответствие качества и безопасности товара должно быть подтверждено: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- Товар должен быть разрешен к применению на территории Российской Федерации и сопровождаться сертификатом соответствия и (или) декларацией о соответствии, подтверждающими его соответствие установленным требованиям для продукции, включенной в перечень продукции, подлежащей обязательной сертификации и (или) подтверждение соответствия которой осуществляется в форме принятия декларации о соответствии;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- экспертным заключением о соответствии Единым санитарно-эпидемиологическим и гигиеническим требованиям к товарам, подлежащим санитарно-эпидемиологическому надзору (контролю) (при необходимости), выдаваемым в рамках нормативно-правового акта, указанным в пункте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5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Раздела IX настоящего Технического задания.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3. Товар должен отвечать общим требованиям безопасности, установленным нормативно-правового акта, указанным в пункте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4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Раздела IX настоящего Технического задания, и должен обеспечивать: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- отсутствие недопустимого риска возникновения ситуаций, которые могут привести к появлению опасностей;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- необходимый уровень защиты жизни и здоровья человека от опасностей, возникающих при применении товара.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4. Товар должен обеспечивать эффективную защиту человека в соответствии с установленными в эксплуатационной документации спектром защиты и длительностью защитного действия, быть безопасным и гигиеничным в процессе всего срока эксплуатации. Конкретные защитные свойства (термические, механические, от воды, от пониженных температур, от общих производственных загрязнений, видимость и др.) должны соответствовать специализированным стандартам.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5. При совмещении защитных свойств товар должен обеспечивать безопасность человека при воздействии всех заявленных вредных (опасных) производственных факторов, а также соответствовать требованиям к совместимости свойств, установленным в применимых стандартах.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3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Требования к упаковке и маркировке поставляемого Товара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Для обеспечения высокого качества поставок и соблюдения законодательных требований, упаковка и маркировка поставляемых товаров должны отвечать следующим требованиям: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1. Упаковка должна обеспечивать сохранность товара при транспортировке и хранении, быть чистой, герметичной, без повреждений, соответствовать требованиям нормативно-правового акта, указанного в пункте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3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Раздела IX настоящего Технического задания.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2. К каждой партии товара прилагается упаковочный лист (упаковочная спецификация) в двух экземплярах, в котором указываются: наименование продукции, количество, вес -нетто и -брутто, номер и дата Контракта или заказа.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3. Упаковочный лист должен содержать описание упаковочных материалов и подтверждение соответствия требованиям стандартов, включая данные об условиях хранения и транспортировки.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4. Упаковочная документация должна сопровождать всю грузовую партию и передаваться ответственному лицу при приемке.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5. Упаковка должна обеспечивать целостность и сохранность товара в течение всего срока транспортирования и хранения, быть выполнена из экологичных и прочных материалов. Все элементы упаковки должны быть защищены от повреждений, влаги, загрязнений и других негативных воздействий.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6. Маркировка товара должна соответствовать нормативно-правовому акту, указанному в пункте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1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Раздела IX настоящего Технического задания.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7. Маркировка упаковки должна содержать указания по обращению с грузом (символы «Хрупкое», «Беречь от влаги», «Верх», температурные ограничения и другие) согласно нормативно-правовым актам, указанным в пунктах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2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,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8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Раздела IX настоящего Технического задания и другим нормативным актам, регулирующим безопасность упаковки и её обращение.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8. Все надписи, символы, пиктограммы должны соответствовать требованиям нормативно-правового акта, указанного в пункте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8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t xml:space="preserve"> Раздела IX настоящего Технического задания.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- информация должна наноситься разборчивым и устойчивым к воздействию окружающей среды шрифтом. При применении цветных упаковок, текст должен иметь контрастный цвет;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- на упаковках и этикетках должны присутствовать инструкции по безопасной утилизации упаковки и предупреждения о возможных рисках.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9. Маркировка должна содержать полную и достоверную информацию, позволяющую идентифицировать товар и производителя, а также обеспечить безопасность использования.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Обязательная информация на маркировке и упаковке товара включает: наименование, назначение и область применения, размер (если применимо), количество единиц в комплекте поставки, дату изготовления, срок хранения или срок годности к применению, страну происхождения, при наличии товарного знака – его обозначение, юридический адрес изготовителя (а для импортного товара – также адрес импортёра), номер сертификата соответствия или номер декларации о соответствии установленным требованиям безопасности, а также ссылку на инструкцию по правильному хранению и эксплуатации, при этом вся информация должна быть на русском языке (допускается дублирование на иностранных языках при условии полного перевода на русский).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10. Маркировка должна включать обязательные знаки соответствия установленным стандартам (например, знак ЕАС) и, при наличии соответствующих свойств, экологические маркировки (если применимо).</w:t>
            </w:r>
            <w:r>
              <w:rPr>
                <w:rPr>
                  <w:rFonts w:ascii="Times New Roman" w:hAnsi="Times New Roman"/>
                  <w:sz w:val="28"/>
                </w:rPr>
              </w:rPr>
              <w:rPr>
                <w:rFonts w:ascii="Times New Roman" w:hAnsi="Times New Roman"/>
                <w:sz w:val="28"/>
              </w:rPr>
              <w:br/>
              <w:br/>
              <w:t xml:space="preserve">11. Допускается дублирование маркировочных знаков в сопроводительной документации.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3.1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Дополнительные требования к упаковке и маркировке поставляемого Товара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Каждая единица Товара должна быть в индивидуальной упаковке - сумке для хранения</w:t>
              <w:br/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4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Требования к условиям поставки Товара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1. Поставка Товара осуществляется в порядке и сроки, установленные в разделе «График выполнения обязательств по контракту» приложения 2 к Контракту.</w:t>
              <w:br/>
              <w:t xml:space="preserve">2. Поставка должна включать в себя доставку, погрузо-разгрузочные работы, Поставщик на момент поставки должен предоставить копию сертификата соответствия в случае, если продукция подлежит обязательной сертификации, или копию декларации о соответствии.</w:t>
              <w:br/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4.1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Дополнительные требования к условиям поставки Товара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Поставка товара осуществляется в рабочие дни  Заказчика в период времени с 9 часов 00 минут до 15 часов 00 минут, по адресу Заказчика: 143410 Московская область, г. Красногорск, бульвар Строителей д.  7 БЦ «Новатор» 19 этаж</w:t>
              <w:br/>
              <w:t xml:space="preserve">Вход (выход), внос (вынос), въезд (выезд) к месту доставки товара, а также на склад Заказчика осуществляется с соблюдением Инструкции об организации пропускного и внутриобъектового режимов в административных зданиях, занимаемых Правительством Московской области, Московской областной Думой, центральными исполнительными органами Московской области, государственными органами Московской области, организациями, и на прилегающих к ним охраняемых территориях, утвержденной постановлением Губернатора Московской области от 27.10.2021 № 397-ПГ.</w:t>
              <w:br/>
              <w:t xml:space="preserve">Учитывая наличие пропускного режима, заказ пропуска на территорию осуществляется за 1 (один) рабочий день по заявке Поставщика, составленной в произвольной форме и направленной на электронную почту контактного лица Заказчика. Заявка должна содержать полные сведения о поставке товара c указанием номера Контракта, наименований и количества единиц товара, фамилий, имён и отчеств лиц, сопровождающих доставку (отгрузку) товара, марки и государственного регистрационного номера автотранспорта, осуществляющего доставку, и согласовывает с Заказчиком точное время и дату поставки товара. Для прохода к местам поставки товара у сотрудников Поставщика, сопровождающих доставку, необходимо наличие паспорта гражданина Российской Федерации</w:t>
              <w:br/>
              <w:t xml:space="preserve">Контактное лицо заказчика:</w:t>
              <w:br/>
              <w:t xml:space="preserve">Соловейкина Ольга Юрьевна </w:t>
              <w:br/>
              <w:t xml:space="preserve">e_mail SoloveykinaOI@mosreg.ru </w:t>
              <w:br/>
              <w:t xml:space="preserve">телефон +7 498 6023090 доб .58534 </w:t>
              <w:br/>
              <w:t xml:space="preserve">Не допускается:</w:t>
              <w:br/>
              <w:t xml:space="preserve">–	поставка с применением курьерских или почтовых отправителей товара без представителя Поставщика;</w:t>
              <w:br/>
              <w:t xml:space="preserve">–	предоставление Заказчику товара с отсутствием требуемой к представлению документации;</w:t>
              <w:br/>
              <w:t xml:space="preserve">–	поставка некомплектного товара;</w:t>
              <w:br/>
              <w:t xml:space="preserve">–	допоставка товара.</w:t>
              <w:br/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rPr>
                <w:b w:val="true"/>
              </w:rPr>
              <w:t xml:space="preserve">IV Раздел. Срок  (график) место, объемы поставки товаров (выполнения работ, оказания услуг)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b/>
                <w:sz w:val="28"/>
              </w:rPr>
              <w:rPr>
                <w:b w:val="false"/>
              </w:rPr>
              <w:t xml:space="preserve"/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Срок (график), место, объемы поставки товаров (выполнения работ, оказания услуг) определены в приложении 2 к Контракту.</w:t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rPr>
                <w:b w:val="true"/>
              </w:rPr>
              <w:t xml:space="preserve">V Раздел. Информация о месте, датах начала и окончания, порядке и графике осмотра участником закупки образца или макета товара</w:t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>
            <w:pPr/>
            <w:r>
              <w:rPr>
                <w:rFonts w:ascii="Times New Roman" w:hAnsi="Times New Roman" w:eastAsia="Times New Roman" w:cs="Times New Roman"/>
                <w:b/>
                <w:sz w:val="28"/>
              </w:rPr>
              <w:rPr>
                <w:b w:val="false"/>
              </w:rPr>
              <w:rPr>
                <w:b w:val="true"/>
              </w:rPr>
              <w:t xml:space="preserve">VI Раздел. Функциональные, технические, качественные, эксплуатационные характеристики товаров, подлежащих поставке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b/>
                <w:sz w:val="28"/>
              </w:rPr>
              <w:rPr>
                <w:b w:val="false"/>
              </w:rPr>
              <w:t xml:space="preserve"/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Определено в Приложение № 1 к Описанию объекта закупки (Техническому заданию). Требования к функциональным, техническим и качественным, эксплуатационным характеристикам товара.</w:t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rPr>
                <w:b w:val="true"/>
              </w:rPr>
              <w:t xml:space="preserve">VII Раздел. Дополнительные сведения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b/>
                <w:sz w:val="28"/>
              </w:rPr>
              <w:rPr>
                <w:b w:val="false"/>
              </w:rPr>
              <w:t xml:space="preserve"/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Приемка Товара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1. Порядок и сроки осуществления приемки поставленного товара установлены в разделе «Порядок и сроки осуществления приемки и оформления результатов» Приложения 2 к Контракту. </w:t>
              <w:br/>
              <w:t xml:space="preserve">2. Перечень и сроки предоставления отчетной документации установлены в Приложении 3 к Контракту «Перечень документов, которыми обмениваются стороны при исполнении контракта».</w:t>
              <w:br/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rPr>
                <w:b w:val="true"/>
              </w:rPr>
              <w:t xml:space="preserve">VIII Раздел. Требования к гарантии качества товара, работы, услуги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b/>
                <w:sz w:val="28"/>
              </w:rPr>
              <w:rPr>
                <w:b w:val="false"/>
              </w:rPr>
              <w:t xml:space="preserve">1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Гарантийные обязательства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1. Гарантийный срок на поставляемые товары указан в разделе «Сведения о гарантии качества товара, работы, услуги» приложения 1 к Контракту. </w:t>
              <w:br/>
              <w:t xml:space="preserve">2. Гарантийный срок начинает исчисляться с даты подписания или утверждения Заказчиком документа о приемке, указанного в разделе «Порядок и сроки осуществления приемки и оформления результатов» приложения 2 к Контракту.</w:t>
              <w:br/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2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Дополнительные требования к гарантийным обязательствам</w:t>
            </w:r>
          </w:p>
        </w:tc>
      </w:tr>
      <w:tr>
        <w:tc>
          <w:tcPr>
            <w:vMerge/>
          </w:tcPr>
          <w:p>
            <w:r>
              <w:rPr/>
            </w:r>
          </w:p>
        </w:tc>
        <w:tc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Гарантийный срок хранения должен составлять не менее 7 лет с даты изготовления</w:t>
              <w:br/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rPr>
                <w:b w:val="true"/>
              </w:rPr>
              <w:t xml:space="preserve">IX Раздел. Перечень правовых актов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b/>
                <w:sz w:val="28"/>
              </w:rPr>
              <w:rPr>
                <w:b w:val="false"/>
              </w:rPr>
              <w:t xml:space="preserve">1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Межгосударственный стандарт. «Маркировка грузов» ГОСТ 14192-96 от 18.06.1997.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2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Межгосударственный стандарт. «Упаковка. Маркировка, указывающая на способ обращения с грузами» ГОСТ 34757-2021 от 14.09.2021.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3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«Межгосударственный стандарт. Упаковка. Термины и определения» ГОСТ 17527-2020.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4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Национальный стандарт Российской Федерации. «Система стандартов безопасности труда. Средства индивидуальной защиты. Общие требования и классификация» ГОСТ Р 59123-2020.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5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Решение Комиссии Таможенного союза «О применении санитарных мер в Евразийском экономическом союзе» № 299 от 28.05.2010.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6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Решение Комиссии Таможенного союза «О принятии технического регламента Таможенного союза «О безопасности продукции легкой промышленности» ТР ТС 017/2011 от 09.12.2011.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7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Решение Комиссии Таможенного союза «О принятии технического регламента Таможенного союза «О безопасности средств индивидуальной защиты» ТР ТС 019/2011 от 09.12.2011.</w:t>
            </w:r>
          </w:p>
        </w:tc>
      </w:tr>
      <w:tr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8</w:t>
            </w:r>
          </w:p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t xml:space="preserve">Технический регламент Таможенного союза. «О безопасности упаковки, принятый решением Комиссии Таможенного союза» ТР ТС 005/2011 от 16.08.2011.</w:t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>
            <w:pPr/>
            <w:r>
              <w:rPr>
                <w:rFonts w:ascii="Times New Roman" w:hAnsi="Times New Roman" w:eastAsia="Times New Roman" w:cs="Times New Roman"/>
                <w:sz w:val="28"/>
              </w:rPr>
              <w:rPr>
                <w:b w:val="true"/>
              </w:rPr>
              <w:t xml:space="preserve">X Раздел. Приложения</w:t>
            </w:r>
          </w:p>
        </w:tc>
      </w:tr>
      <w:tr>
        <w:tc>
          <w:p/>
        </w:tc>
        <w:tc>
          <w:p/>
        </w:tc>
      </w:tr>
    </w:tbl>
    <w:sectPr>
      <w:headerReference w:type="default" r:id="rId9"/>
      <w:footnotePr/>
      <w:endnotePr/>
      <w:type w:val="nextPage"/>
      <w:pgSz w:w="16838" w:h="11906" w:orient="landscape"/>
      <w:pgMar w:top="1134" w:right="1134" w:bottom="850" w:left="1134" w:header="708" w:footer="708" w:gutter="0"/>
      <w:cols w:equalWidth="1" w:space="708" w:num="1" w:sep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9"/>
      <w:pBdr/>
      <w:spacing/>
      <w:ind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</w:r>
    <w:r>
      <w:rPr>
        <w:rFonts w:ascii="Times New Roman" w:hAnsi="Times New Roman" w:cs="Times New Roman"/>
        <w:b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1277EB"/>
    <w:lvl w:ilvl="0">
      <w:isLgl w:val="false"/>
      <w:lvlJc w:val="left"/>
      <w:lvlText w:val="%1."/>
      <w:numFmt w:val="decimal"/>
      <w:pPr>
        <w:pBdr/>
        <w:spacing/>
        <w:ind w:hanging="360" w:left="9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6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1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1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1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12"/>
    <w:next w:val="712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12"/>
    <w:next w:val="71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2"/>
    <w:next w:val="71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2"/>
    <w:next w:val="71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2"/>
    <w:next w:val="71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2"/>
    <w:next w:val="71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2"/>
    <w:next w:val="71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2"/>
    <w:next w:val="71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2"/>
    <w:next w:val="71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1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1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1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1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1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1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1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1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1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2"/>
    <w:next w:val="71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1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2"/>
    <w:next w:val="71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1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2"/>
    <w:next w:val="71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1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12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1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2"/>
    <w:next w:val="71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1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1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1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1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1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1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1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13"/>
    <w:link w:val="719"/>
    <w:uiPriority w:val="99"/>
    <w:pPr>
      <w:pBdr/>
      <w:spacing/>
      <w:ind/>
    </w:pPr>
  </w:style>
  <w:style w:type="character" w:styleId="179">
    <w:name w:val="Footer Char"/>
    <w:basedOn w:val="713"/>
    <w:link w:val="721"/>
    <w:uiPriority w:val="99"/>
    <w:pPr>
      <w:pBdr/>
      <w:spacing/>
      <w:ind/>
    </w:pPr>
  </w:style>
  <w:style w:type="paragraph" w:styleId="180">
    <w:name w:val="Caption"/>
    <w:basedOn w:val="712"/>
    <w:next w:val="71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2">
    <w:name w:val="Footnote Text Char"/>
    <w:basedOn w:val="713"/>
    <w:link w:val="725"/>
    <w:uiPriority w:val="99"/>
    <w:semiHidden/>
    <w:pPr>
      <w:pBdr/>
      <w:spacing/>
      <w:ind/>
    </w:pPr>
    <w:rPr>
      <w:sz w:val="20"/>
      <w:szCs w:val="20"/>
    </w:rPr>
  </w:style>
  <w:style w:type="paragraph" w:styleId="184">
    <w:name w:val="endnote text"/>
    <w:basedOn w:val="71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1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13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1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2"/>
    <w:next w:val="712"/>
    <w:uiPriority w:val="39"/>
    <w:unhideWhenUsed/>
    <w:pPr>
      <w:pBdr/>
      <w:spacing w:after="100"/>
      <w:ind/>
    </w:pPr>
  </w:style>
  <w:style w:type="paragraph" w:styleId="190">
    <w:name w:val="toc 2"/>
    <w:basedOn w:val="712"/>
    <w:next w:val="712"/>
    <w:uiPriority w:val="39"/>
    <w:unhideWhenUsed/>
    <w:pPr>
      <w:pBdr/>
      <w:spacing w:after="100"/>
      <w:ind w:left="220"/>
    </w:pPr>
  </w:style>
  <w:style w:type="paragraph" w:styleId="191">
    <w:name w:val="toc 3"/>
    <w:basedOn w:val="712"/>
    <w:next w:val="712"/>
    <w:uiPriority w:val="39"/>
    <w:unhideWhenUsed/>
    <w:pPr>
      <w:pBdr/>
      <w:spacing w:after="100"/>
      <w:ind w:left="440"/>
    </w:pPr>
  </w:style>
  <w:style w:type="paragraph" w:styleId="192">
    <w:name w:val="toc 4"/>
    <w:basedOn w:val="712"/>
    <w:next w:val="712"/>
    <w:uiPriority w:val="39"/>
    <w:unhideWhenUsed/>
    <w:pPr>
      <w:pBdr/>
      <w:spacing w:after="100"/>
      <w:ind w:left="660"/>
    </w:pPr>
  </w:style>
  <w:style w:type="paragraph" w:styleId="193">
    <w:name w:val="toc 5"/>
    <w:basedOn w:val="712"/>
    <w:next w:val="712"/>
    <w:uiPriority w:val="39"/>
    <w:unhideWhenUsed/>
    <w:pPr>
      <w:pBdr/>
      <w:spacing w:after="100"/>
      <w:ind w:left="880"/>
    </w:pPr>
  </w:style>
  <w:style w:type="paragraph" w:styleId="194">
    <w:name w:val="toc 6"/>
    <w:basedOn w:val="712"/>
    <w:next w:val="712"/>
    <w:uiPriority w:val="39"/>
    <w:unhideWhenUsed/>
    <w:pPr>
      <w:pBdr/>
      <w:spacing w:after="100"/>
      <w:ind w:left="1100"/>
    </w:pPr>
  </w:style>
  <w:style w:type="paragraph" w:styleId="195">
    <w:name w:val="toc 7"/>
    <w:basedOn w:val="712"/>
    <w:next w:val="712"/>
    <w:uiPriority w:val="39"/>
    <w:unhideWhenUsed/>
    <w:pPr>
      <w:pBdr/>
      <w:spacing w:after="100"/>
      <w:ind w:left="1320"/>
    </w:pPr>
  </w:style>
  <w:style w:type="paragraph" w:styleId="196">
    <w:name w:val="toc 8"/>
    <w:basedOn w:val="712"/>
    <w:next w:val="712"/>
    <w:uiPriority w:val="39"/>
    <w:unhideWhenUsed/>
    <w:pPr>
      <w:pBdr/>
      <w:spacing w:after="100"/>
      <w:ind w:left="1540"/>
    </w:pPr>
  </w:style>
  <w:style w:type="paragraph" w:styleId="197">
    <w:name w:val="toc 9"/>
    <w:basedOn w:val="712"/>
    <w:next w:val="71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1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2"/>
    <w:next w:val="712"/>
    <w:uiPriority w:val="99"/>
    <w:unhideWhenUsed/>
    <w:pPr>
      <w:pBdr/>
      <w:spacing w:after="0" w:afterAutospacing="0"/>
      <w:ind/>
    </w:pPr>
  </w:style>
  <w:style w:type="paragraph" w:styleId="712" w:default="1">
    <w:name w:val="Normal"/>
    <w:qFormat/>
    <w:pPr>
      <w:pBdr/>
      <w:spacing/>
      <w:ind/>
    </w:pPr>
  </w:style>
  <w:style w:type="character" w:styleId="713" w:default="1">
    <w:name w:val="Default Paragraph Font"/>
    <w:uiPriority w:val="1"/>
    <w:semiHidden/>
    <w:unhideWhenUsed/>
    <w:pPr>
      <w:pBdr/>
      <w:spacing/>
      <w:ind/>
    </w:pPr>
  </w:style>
  <w:style w:type="table" w:styleId="71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5" w:default="1">
    <w:name w:val="No List"/>
    <w:uiPriority w:val="99"/>
    <w:semiHidden/>
    <w:unhideWhenUsed/>
    <w:pPr>
      <w:pBdr/>
      <w:spacing/>
      <w:ind/>
    </w:pPr>
  </w:style>
  <w:style w:type="paragraph" w:styleId="716" w:customStyle="1">
    <w:name w:val="ConsPlusNormal"/>
    <w:pPr>
      <w:widowControl w:val="false"/>
      <w:pBdr/>
      <w:spacing w:after="0" w:line="240" w:lineRule="auto"/>
      <w:ind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717" w:customStyle="1">
    <w:name w:val="ConsPlusNonformat"/>
    <w:uiPriority w:val="99"/>
    <w:pPr>
      <w:widowControl w:val="false"/>
      <w:pBdr/>
      <w:spacing w:after="0" w:line="240" w:lineRule="auto"/>
      <w:ind/>
    </w:pPr>
    <w:rPr>
      <w:rFonts w:ascii="Courier New" w:hAnsi="Courier New" w:cs="Courier New" w:eastAsiaTheme="minorEastAsia"/>
      <w:sz w:val="20"/>
      <w:szCs w:val="20"/>
      <w:lang w:eastAsia="ru-RU"/>
    </w:rPr>
  </w:style>
  <w:style w:type="table" w:styleId="718">
    <w:name w:val="Table Grid"/>
    <w:basedOn w:val="71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19">
    <w:name w:val="Header"/>
    <w:basedOn w:val="712"/>
    <w:link w:val="720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20" w:customStyle="1">
    <w:name w:val="Верхний колонтитул Знак"/>
    <w:basedOn w:val="713"/>
    <w:link w:val="719"/>
    <w:uiPriority w:val="99"/>
    <w:pPr>
      <w:pBdr/>
      <w:spacing/>
      <w:ind/>
    </w:pPr>
  </w:style>
  <w:style w:type="paragraph" w:styleId="721">
    <w:name w:val="Footer"/>
    <w:basedOn w:val="712"/>
    <w:link w:val="722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22" w:customStyle="1">
    <w:name w:val="Нижний колонтитул Знак"/>
    <w:basedOn w:val="713"/>
    <w:link w:val="721"/>
    <w:uiPriority w:val="99"/>
    <w:pPr>
      <w:pBdr/>
      <w:spacing/>
      <w:ind/>
    </w:pPr>
  </w:style>
  <w:style w:type="character" w:styleId="723" w:customStyle="1">
    <w:name w:val="Основной текст_"/>
    <w:link w:val="724"/>
    <w:pPr>
      <w:pBdr/>
      <w:spacing/>
      <w:ind/>
    </w:pPr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724" w:customStyle="1">
    <w:name w:val="Основной текст7"/>
    <w:basedOn w:val="712"/>
    <w:link w:val="723"/>
    <w:pPr>
      <w:pBdr/>
      <w:shd w:val="clear" w:color="auto" w:fill="ffffff"/>
      <w:spacing w:after="0" w:before="6660" w:line="254" w:lineRule="exact"/>
      <w:ind/>
      <w:jc w:val="center"/>
    </w:pPr>
    <w:rPr>
      <w:rFonts w:ascii="Times New Roman" w:hAnsi="Times New Roman" w:cs="Times New Roman"/>
      <w:sz w:val="21"/>
      <w:szCs w:val="21"/>
    </w:rPr>
  </w:style>
  <w:style w:type="paragraph" w:styleId="725">
    <w:name w:val="footnote text"/>
    <w:basedOn w:val="712"/>
    <w:link w:val="726"/>
    <w:uiPriority w:val="99"/>
    <w:unhideWhenUsed/>
    <w:qFormat/>
    <w:pPr>
      <w:pBdr/>
      <w:spacing w:after="0" w:line="240" w:lineRule="auto"/>
      <w:ind/>
    </w:pPr>
    <w:rPr>
      <w:sz w:val="20"/>
      <w:szCs w:val="20"/>
    </w:rPr>
  </w:style>
  <w:style w:type="character" w:styleId="726" w:customStyle="1">
    <w:name w:val="Текст сноски Знак"/>
    <w:basedOn w:val="713"/>
    <w:link w:val="725"/>
    <w:uiPriority w:val="99"/>
    <w:pPr>
      <w:pBdr/>
      <w:spacing/>
      <w:ind/>
    </w:pPr>
    <w:rPr>
      <w:sz w:val="20"/>
      <w:szCs w:val="20"/>
    </w:rPr>
  </w:style>
  <w:style w:type="character" w:styleId="727">
    <w:name w:val="footnote reference"/>
    <w:basedOn w:val="713"/>
    <w:uiPriority w:val="99"/>
    <w:semiHidden/>
    <w:unhideWhenUsed/>
    <w:pPr>
      <w:pBdr/>
      <w:spacing/>
      <w:ind/>
    </w:pPr>
    <w:rPr>
      <w:vertAlign w:val="superscript"/>
    </w:rPr>
  </w:style>
  <w:style w:type="character" w:styleId="728">
    <w:name w:val="annotation reference"/>
    <w:basedOn w:val="713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29">
    <w:name w:val="annotation text"/>
    <w:basedOn w:val="712"/>
    <w:link w:val="730"/>
    <w:uiPriority w:val="99"/>
    <w:unhideWhenUsed/>
    <w:pPr>
      <w:pBdr/>
      <w:spacing w:line="240" w:lineRule="auto"/>
      <w:ind/>
    </w:pPr>
    <w:rPr>
      <w:sz w:val="20"/>
      <w:szCs w:val="20"/>
    </w:rPr>
  </w:style>
  <w:style w:type="character" w:styleId="730" w:customStyle="1">
    <w:name w:val="Текст примечания Знак"/>
    <w:basedOn w:val="713"/>
    <w:link w:val="729"/>
    <w:uiPriority w:val="99"/>
    <w:pPr>
      <w:pBdr/>
      <w:spacing/>
      <w:ind/>
    </w:pPr>
    <w:rPr>
      <w:sz w:val="20"/>
      <w:szCs w:val="20"/>
    </w:rPr>
  </w:style>
  <w:style w:type="paragraph" w:styleId="731">
    <w:name w:val="annotation subject"/>
    <w:basedOn w:val="729"/>
    <w:next w:val="729"/>
    <w:link w:val="732"/>
    <w:uiPriority w:val="99"/>
    <w:semiHidden/>
    <w:unhideWhenUsed/>
    <w:pPr>
      <w:pBdr/>
      <w:spacing/>
      <w:ind/>
    </w:pPr>
    <w:rPr>
      <w:b/>
      <w:bCs/>
    </w:rPr>
  </w:style>
  <w:style w:type="character" w:styleId="732" w:customStyle="1">
    <w:name w:val="Тема примечания Знак"/>
    <w:basedOn w:val="730"/>
    <w:link w:val="731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33">
    <w:name w:val="Balloon Text"/>
    <w:basedOn w:val="712"/>
    <w:link w:val="734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734" w:customStyle="1">
    <w:name w:val="Текст выноски Знак"/>
    <w:basedOn w:val="713"/>
    <w:link w:val="733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735">
    <w:name w:val="Revision"/>
    <w:hidden/>
    <w:uiPriority w:val="99"/>
    <w:semiHidden/>
    <w:pPr>
      <w:pBdr/>
      <w:spacing w:after="0" w:line="240" w:lineRule="auto"/>
      <w:ind/>
    </w:pPr>
  </w:style>
  <w:style w:type="character" w:styleId="736">
    <w:name w:val="Hyperlink"/>
    <w:basedOn w:val="713"/>
    <w:uiPriority w:val="99"/>
    <w:unhideWhenUsed/>
    <w:pPr>
      <w:pBdr/>
      <w:spacing/>
      <w:ind/>
    </w:pPr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1" /><Relationship Type="http://schemas.openxmlformats.org/officeDocument/2006/relationships/settings" Target="/word/settings.xml" Id="rId2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4" /><Relationship Type="http://schemas.openxmlformats.org/officeDocument/2006/relationships/theme" Target="/word/theme/theme11.xml" Id="rId5" /><Relationship Type="http://schemas.openxmlformats.org/officeDocument/2006/relationships/numbering" Target="/word/numbering.xml" Id="rId6" /><Relationship Type="http://schemas.openxmlformats.org/officeDocument/2006/relationships/footnotes" Target="/word/footnotes.xml" Id="rId7" /><Relationship Type="http://schemas.openxmlformats.org/officeDocument/2006/relationships/endnotes" Target="/word/endnotes.xml" Id="rId8" /><Relationship Type="http://schemas.openxmlformats.org/officeDocument/2006/relationships/header" Target="/word/header11.xml" Id="rId9" /><Relationship Type="http://schemas.openxmlformats.org/officeDocument/2006/relationships/customXml" Target="/customXml/item1.xml" Id="rId10" /></Relationships>
</file>

<file path=word/theme/theme1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1.xml" Id="rId1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1.xml><?xml version="1.0" encoding="utf-8"?>
<ds:datastoreItem xmlns:ds="http://schemas.openxmlformats.org/officeDocument/2006/customXml" ds:itemID="{3CDBBD55-D9AE-478F-8C96-86A0E435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Виктория Олеговна</dc:creator>
  <cp:revision>69</cp:revision>
  <dcterms:created xsi:type="dcterms:W3CDTF">2022-05-31T20:41:00Z</dcterms:created>
  <dcterms:modified xsi:type="dcterms:W3CDTF">2025-09-24T10:59:52Z</dcterms:modified>
</cp:coreProperties>
</file>