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173" w:rsidRDefault="00B2207A">
      <w:pPr>
        <w:pStyle w:val="31"/>
        <w:ind w:right="72" w:firstLine="5104"/>
        <w:jc w:val="both"/>
        <w:rPr>
          <w:sz w:val="24"/>
          <w:szCs w:val="24"/>
        </w:rPr>
      </w:pPr>
      <w:r>
        <w:rPr>
          <w:sz w:val="24"/>
          <w:szCs w:val="24"/>
        </w:rPr>
        <w:t xml:space="preserve">Приложение № 7 </w:t>
      </w:r>
    </w:p>
    <w:p w:rsidR="00E06173" w:rsidRDefault="00B2207A">
      <w:pPr>
        <w:pStyle w:val="31"/>
        <w:ind w:right="72" w:firstLine="5104"/>
        <w:jc w:val="both"/>
        <w:rPr>
          <w:sz w:val="24"/>
          <w:szCs w:val="24"/>
        </w:rPr>
      </w:pPr>
      <w:r>
        <w:rPr>
          <w:sz w:val="24"/>
          <w:szCs w:val="24"/>
        </w:rPr>
        <w:t xml:space="preserve">к долгосрочному договору поставки </w:t>
      </w:r>
    </w:p>
    <w:p w:rsidR="00E06173" w:rsidRPr="00EF479A" w:rsidRDefault="00B2207A">
      <w:pPr>
        <w:pStyle w:val="31"/>
        <w:ind w:right="72" w:firstLine="5104"/>
        <w:jc w:val="both"/>
        <w:rPr>
          <w:sz w:val="24"/>
          <w:szCs w:val="24"/>
        </w:rPr>
      </w:pPr>
      <w:r>
        <w:rPr>
          <w:sz w:val="24"/>
          <w:szCs w:val="24"/>
        </w:rPr>
        <w:t xml:space="preserve">№ </w:t>
      </w:r>
      <w:r w:rsidR="00EF479A" w:rsidRPr="00EF479A">
        <w:rPr>
          <w:sz w:val="24"/>
          <w:szCs w:val="24"/>
        </w:rPr>
        <w:t xml:space="preserve">                  </w:t>
      </w:r>
    </w:p>
    <w:p w:rsidR="00E06173" w:rsidRDefault="00E06173">
      <w:pPr>
        <w:spacing w:line="240" w:lineRule="auto"/>
        <w:ind w:left="40" w:firstLine="0"/>
        <w:jc w:val="right"/>
        <w:rPr>
          <w:b/>
          <w:sz w:val="24"/>
          <w:szCs w:val="24"/>
        </w:rPr>
      </w:pPr>
    </w:p>
    <w:tbl>
      <w:tblPr>
        <w:tblW w:w="9497" w:type="dxa"/>
        <w:tblInd w:w="392" w:type="dxa"/>
        <w:tblLook w:val="01E0" w:firstRow="1" w:lastRow="1" w:firstColumn="1" w:lastColumn="1" w:noHBand="0" w:noVBand="0"/>
      </w:tblPr>
      <w:tblGrid>
        <w:gridCol w:w="2410"/>
        <w:gridCol w:w="7087"/>
      </w:tblGrid>
      <w:tr w:rsidR="00E06173">
        <w:tc>
          <w:tcPr>
            <w:tcW w:w="2410" w:type="dxa"/>
            <w:hideMark/>
          </w:tcPr>
          <w:p w:rsidR="00E06173" w:rsidRDefault="00B2207A">
            <w:pPr>
              <w:ind w:left="34" w:firstLine="0"/>
              <w:rPr>
                <w:bCs/>
                <w:sz w:val="24"/>
                <w:szCs w:val="24"/>
              </w:rPr>
            </w:pPr>
            <w:r>
              <w:rPr>
                <w:bCs/>
                <w:sz w:val="24"/>
                <w:szCs w:val="24"/>
                <w:highlight w:val="lightGray"/>
              </w:rPr>
              <w:fldChar w:fldCharType="begin">
                <w:ffData>
                  <w:name w:val=""/>
                  <w:enabled/>
                  <w:calcOnExit w:val="0"/>
                  <w:textInput>
                    <w:default w:val="г.Москва"/>
                  </w:textInput>
                </w:ffData>
              </w:fldChar>
            </w:r>
            <w:r>
              <w:rPr>
                <w:bCs/>
                <w:sz w:val="24"/>
                <w:szCs w:val="24"/>
                <w:highlight w:val="lightGray"/>
              </w:rPr>
              <w:instrText xml:space="preserve"> FORMTEXT </w:instrText>
            </w:r>
            <w:r>
              <w:rPr>
                <w:bCs/>
                <w:sz w:val="24"/>
                <w:szCs w:val="24"/>
                <w:highlight w:val="lightGray"/>
              </w:rPr>
            </w:r>
            <w:r>
              <w:rPr>
                <w:bCs/>
                <w:sz w:val="24"/>
                <w:szCs w:val="24"/>
                <w:highlight w:val="lightGray"/>
              </w:rPr>
              <w:fldChar w:fldCharType="separate"/>
            </w:r>
            <w:r>
              <w:rPr>
                <w:bCs/>
                <w:noProof/>
                <w:sz w:val="24"/>
                <w:szCs w:val="24"/>
                <w:highlight w:val="lightGray"/>
              </w:rPr>
              <w:t>г.Уфа</w:t>
            </w:r>
            <w:r>
              <w:rPr>
                <w:bCs/>
                <w:sz w:val="24"/>
                <w:szCs w:val="24"/>
                <w:highlight w:val="lightGray"/>
              </w:rPr>
              <w:fldChar w:fldCharType="end"/>
            </w:r>
          </w:p>
        </w:tc>
        <w:tc>
          <w:tcPr>
            <w:tcW w:w="7087" w:type="dxa"/>
            <w:hideMark/>
          </w:tcPr>
          <w:p w:rsidR="00E06173" w:rsidRDefault="00B2207A">
            <w:pPr>
              <w:ind w:firstLine="540"/>
              <w:jc w:val="right"/>
              <w:rPr>
                <w:bCs/>
                <w:sz w:val="24"/>
                <w:szCs w:val="24"/>
              </w:rPr>
            </w:pPr>
            <w:r>
              <w:rPr>
                <w:bCs/>
                <w:sz w:val="24"/>
                <w:szCs w:val="24"/>
                <w:highlight w:val="lightGray"/>
              </w:rPr>
              <w:softHyphen/>
            </w:r>
            <w:r>
              <w:rPr>
                <w:bCs/>
                <w:sz w:val="24"/>
                <w:szCs w:val="24"/>
                <w:highlight w:val="lightGray"/>
              </w:rPr>
              <w:softHyphen/>
            </w:r>
            <w:r>
              <w:rPr>
                <w:bCs/>
                <w:sz w:val="24"/>
                <w:szCs w:val="24"/>
                <w:highlight w:val="lightGray"/>
              </w:rPr>
              <w:softHyphen/>
            </w:r>
            <w:r>
              <w:rPr>
                <w:sz w:val="24"/>
                <w:szCs w:val="24"/>
                <w:highlight w:val="lightGray"/>
              </w:rPr>
              <w:fldChar w:fldCharType="begin">
                <w:ffData>
                  <w:name w:val=""/>
                  <w:enabled/>
                  <w:calcOnExit w:val="0"/>
                  <w:textInput>
                    <w:default w:val="«_____» _____________ г."/>
                  </w:textInput>
                </w:ffData>
              </w:fldChar>
            </w:r>
            <w:r>
              <w:rPr>
                <w:sz w:val="24"/>
                <w:szCs w:val="24"/>
                <w:highlight w:val="lightGray"/>
              </w:rPr>
              <w:instrText xml:space="preserve"> FORMTEXT </w:instrText>
            </w:r>
            <w:r>
              <w:rPr>
                <w:sz w:val="24"/>
                <w:szCs w:val="24"/>
                <w:highlight w:val="lightGray"/>
              </w:rPr>
            </w:r>
            <w:r>
              <w:rPr>
                <w:sz w:val="24"/>
                <w:szCs w:val="24"/>
                <w:highlight w:val="lightGray"/>
              </w:rPr>
              <w:fldChar w:fldCharType="separate"/>
            </w:r>
            <w:r>
              <w:rPr>
                <w:noProof/>
                <w:sz w:val="24"/>
                <w:szCs w:val="24"/>
                <w:highlight w:val="lightGray"/>
              </w:rPr>
              <w:t>«_____» _____________ г.</w:t>
            </w:r>
            <w:r>
              <w:rPr>
                <w:sz w:val="24"/>
                <w:szCs w:val="24"/>
                <w:highlight w:val="lightGray"/>
              </w:rPr>
              <w:fldChar w:fldCharType="end"/>
            </w:r>
          </w:p>
        </w:tc>
      </w:tr>
    </w:tbl>
    <w:p w:rsidR="00E06173" w:rsidRDefault="00E06173">
      <w:pPr>
        <w:spacing w:line="240" w:lineRule="auto"/>
        <w:ind w:left="40" w:firstLine="0"/>
        <w:jc w:val="right"/>
        <w:rPr>
          <w:b/>
          <w:sz w:val="24"/>
          <w:szCs w:val="24"/>
        </w:rPr>
      </w:pPr>
    </w:p>
    <w:p w:rsidR="00E06173" w:rsidRDefault="00E06173">
      <w:pPr>
        <w:spacing w:line="240" w:lineRule="auto"/>
        <w:rPr>
          <w:i/>
          <w:sz w:val="24"/>
          <w:szCs w:val="24"/>
        </w:rPr>
      </w:pPr>
    </w:p>
    <w:p w:rsidR="00E06173" w:rsidRDefault="00B2207A">
      <w:pPr>
        <w:pStyle w:val="31"/>
        <w:ind w:right="72"/>
        <w:jc w:val="both"/>
        <w:rPr>
          <w:sz w:val="24"/>
          <w:szCs w:val="24"/>
        </w:rPr>
      </w:pPr>
      <w:r>
        <w:rPr>
          <w:b/>
          <w:sz w:val="24"/>
          <w:szCs w:val="24"/>
          <w:highlight w:val="lightGray"/>
        </w:rPr>
        <w:fldChar w:fldCharType="begin">
          <w:ffData>
            <w:name w:val=""/>
            <w:enabled/>
            <w:calcOnExit w:val="0"/>
            <w:textInput>
              <w:default w:val="ОАО &quot;НК &quot;Роснефть&quot;"/>
            </w:textInput>
          </w:ffData>
        </w:fldChar>
      </w:r>
      <w:r>
        <w:rPr>
          <w:b/>
          <w:sz w:val="24"/>
          <w:szCs w:val="24"/>
          <w:highlight w:val="lightGray"/>
        </w:rPr>
        <w:instrText xml:space="preserve"> FORMTEXT </w:instrText>
      </w:r>
      <w:r>
        <w:rPr>
          <w:b/>
          <w:sz w:val="24"/>
          <w:szCs w:val="24"/>
          <w:highlight w:val="lightGray"/>
        </w:rPr>
      </w:r>
      <w:r>
        <w:rPr>
          <w:b/>
          <w:sz w:val="24"/>
          <w:szCs w:val="24"/>
          <w:highlight w:val="lightGray"/>
        </w:rPr>
        <w:fldChar w:fldCharType="separate"/>
      </w:r>
      <w:r>
        <w:rPr>
          <w:b/>
          <w:noProof/>
          <w:sz w:val="24"/>
          <w:szCs w:val="24"/>
        </w:rPr>
        <w:t>Общество с ограниченной ответственностью "РН-Сервис"</w:t>
      </w:r>
      <w:r>
        <w:rPr>
          <w:b/>
          <w:sz w:val="24"/>
          <w:szCs w:val="24"/>
          <w:highlight w:val="lightGray"/>
        </w:rPr>
        <w:fldChar w:fldCharType="end"/>
      </w:r>
      <w:r>
        <w:rPr>
          <w:sz w:val="24"/>
          <w:szCs w:val="24"/>
        </w:rPr>
        <w:t xml:space="preserve">, именуемое в дальнейшем </w:t>
      </w:r>
      <w:r>
        <w:rPr>
          <w:b/>
          <w:bCs/>
          <w:sz w:val="24"/>
          <w:szCs w:val="24"/>
        </w:rPr>
        <w:t xml:space="preserve">«Покупатель», </w:t>
      </w:r>
      <w:r>
        <w:rPr>
          <w:bCs/>
          <w:sz w:val="24"/>
          <w:szCs w:val="24"/>
        </w:rPr>
        <w:t xml:space="preserve">в лице </w:t>
      </w:r>
      <w:r w:rsidR="00EF479A" w:rsidRPr="00EF479A">
        <w:rPr>
          <w:sz w:val="24"/>
          <w:szCs w:val="24"/>
        </w:rPr>
        <w:t xml:space="preserve">                           </w:t>
      </w:r>
      <w:r>
        <w:rPr>
          <w:sz w:val="24"/>
          <w:szCs w:val="24"/>
        </w:rPr>
        <w:t xml:space="preserve">, действующего на основании </w:t>
      </w:r>
      <w:r w:rsidR="00EF479A" w:rsidRPr="00EF479A">
        <w:rPr>
          <w:sz w:val="24"/>
          <w:szCs w:val="24"/>
        </w:rPr>
        <w:t xml:space="preserve">                       </w:t>
      </w:r>
      <w:r>
        <w:rPr>
          <w:sz w:val="24"/>
          <w:szCs w:val="24"/>
        </w:rPr>
        <w:t>, с одной стороны, и</w:t>
      </w:r>
    </w:p>
    <w:p w:rsidR="00E06173" w:rsidRDefault="00E06173">
      <w:pPr>
        <w:pStyle w:val="31"/>
        <w:ind w:right="72"/>
        <w:jc w:val="both"/>
        <w:rPr>
          <w:sz w:val="24"/>
          <w:szCs w:val="24"/>
        </w:rPr>
      </w:pPr>
    </w:p>
    <w:p w:rsidR="00E06173" w:rsidRDefault="00EF479A">
      <w:pPr>
        <w:pStyle w:val="31"/>
        <w:ind w:right="72"/>
        <w:jc w:val="both"/>
        <w:rPr>
          <w:sz w:val="24"/>
          <w:szCs w:val="24"/>
        </w:rPr>
      </w:pPr>
      <w:r w:rsidRPr="00EF479A">
        <w:rPr>
          <w:sz w:val="24"/>
          <w:szCs w:val="24"/>
        </w:rPr>
        <w:t xml:space="preserve">                   </w:t>
      </w:r>
      <w:r w:rsidR="00B2207A">
        <w:rPr>
          <w:sz w:val="24"/>
          <w:szCs w:val="24"/>
        </w:rPr>
        <w:t xml:space="preserve">, именуемое в дальнейшем </w:t>
      </w:r>
      <w:r w:rsidR="00B2207A">
        <w:rPr>
          <w:b/>
          <w:bCs/>
          <w:sz w:val="24"/>
          <w:szCs w:val="24"/>
        </w:rPr>
        <w:t>«Поставщик»</w:t>
      </w:r>
      <w:r w:rsidR="00B2207A">
        <w:rPr>
          <w:sz w:val="24"/>
          <w:szCs w:val="24"/>
        </w:rPr>
        <w:t xml:space="preserve">, в лице </w:t>
      </w:r>
      <w:r w:rsidRPr="00EF479A">
        <w:rPr>
          <w:sz w:val="24"/>
          <w:szCs w:val="24"/>
        </w:rPr>
        <w:t xml:space="preserve">                      </w:t>
      </w:r>
      <w:r w:rsidR="00B2207A">
        <w:rPr>
          <w:sz w:val="24"/>
          <w:szCs w:val="24"/>
        </w:rPr>
        <w:t xml:space="preserve">, действующего на основании </w:t>
      </w:r>
      <w:r w:rsidRPr="00EF479A">
        <w:rPr>
          <w:sz w:val="24"/>
          <w:szCs w:val="24"/>
        </w:rPr>
        <w:t xml:space="preserve">              </w:t>
      </w:r>
      <w:r w:rsidR="00B2207A">
        <w:rPr>
          <w:sz w:val="24"/>
          <w:szCs w:val="24"/>
        </w:rPr>
        <w:t xml:space="preserve">, с другой стороны, вместе именуемые «Стороны», заключили настоящее Приложение № 7 (именуемое в дальнейшем Приложение) к Долгосрочному договору поставки № </w:t>
      </w:r>
      <w:r w:rsidRPr="00EF479A">
        <w:rPr>
          <w:sz w:val="24"/>
          <w:szCs w:val="24"/>
        </w:rPr>
        <w:t xml:space="preserve">                    </w:t>
      </w:r>
      <w:r w:rsidR="00B40FC7">
        <w:rPr>
          <w:sz w:val="24"/>
          <w:szCs w:val="24"/>
        </w:rPr>
        <w:t xml:space="preserve"> </w:t>
      </w:r>
      <w:r w:rsidR="00B2207A">
        <w:rPr>
          <w:sz w:val="24"/>
          <w:szCs w:val="24"/>
        </w:rPr>
        <w:t xml:space="preserve">от </w:t>
      </w:r>
      <w:r w:rsidR="00B2207A">
        <w:rPr>
          <w:sz w:val="24"/>
          <w:szCs w:val="24"/>
          <w:highlight w:val="lightGray"/>
        </w:rPr>
        <w:fldChar w:fldCharType="begin">
          <w:ffData>
            <w:name w:val=""/>
            <w:enabled/>
            <w:calcOnExit w:val="0"/>
            <w:textInput>
              <w:default w:val="__________"/>
            </w:textInput>
          </w:ffData>
        </w:fldChar>
      </w:r>
      <w:r w:rsidR="00B2207A">
        <w:rPr>
          <w:sz w:val="24"/>
          <w:szCs w:val="24"/>
          <w:highlight w:val="lightGray"/>
        </w:rPr>
        <w:instrText xml:space="preserve"> FORMTEXT </w:instrText>
      </w:r>
      <w:r w:rsidR="00B2207A">
        <w:rPr>
          <w:sz w:val="24"/>
          <w:szCs w:val="24"/>
          <w:highlight w:val="lightGray"/>
        </w:rPr>
      </w:r>
      <w:r w:rsidR="00B2207A">
        <w:rPr>
          <w:sz w:val="24"/>
          <w:szCs w:val="24"/>
          <w:highlight w:val="lightGray"/>
        </w:rPr>
        <w:fldChar w:fldCharType="separate"/>
      </w:r>
      <w:r w:rsidR="00B2207A">
        <w:rPr>
          <w:noProof/>
          <w:sz w:val="24"/>
          <w:szCs w:val="24"/>
          <w:highlight w:val="lightGray"/>
        </w:rPr>
        <w:t>__________</w:t>
      </w:r>
      <w:r w:rsidR="00B2207A">
        <w:rPr>
          <w:sz w:val="24"/>
          <w:szCs w:val="24"/>
          <w:highlight w:val="lightGray"/>
        </w:rPr>
        <w:fldChar w:fldCharType="end"/>
      </w:r>
      <w:r w:rsidR="00B2207A">
        <w:rPr>
          <w:sz w:val="24"/>
          <w:szCs w:val="24"/>
        </w:rPr>
        <w:t xml:space="preserve"> (именуемому в дальнейшем Договор) о нижеследующем:</w:t>
      </w:r>
    </w:p>
    <w:p w:rsidR="00E06173" w:rsidRDefault="00E06173">
      <w:pPr>
        <w:spacing w:line="240" w:lineRule="auto"/>
        <w:rPr>
          <w:sz w:val="24"/>
          <w:szCs w:val="24"/>
        </w:rPr>
      </w:pPr>
    </w:p>
    <w:p w:rsidR="00E06173" w:rsidRDefault="00B2207A">
      <w:pPr>
        <w:spacing w:line="240" w:lineRule="auto"/>
        <w:ind w:firstLine="709"/>
        <w:rPr>
          <w:sz w:val="24"/>
          <w:szCs w:val="24"/>
        </w:rPr>
      </w:pPr>
      <w:r>
        <w:rPr>
          <w:sz w:val="24"/>
          <w:szCs w:val="24"/>
        </w:rPr>
        <w:t xml:space="preserve">1. В целях распределения расходов на проведение технических инспекций Стороны договорились, что максимальный уровень критичного брака при поставке Товара Поставщиком составляет </w:t>
      </w:r>
      <w:bookmarkStart w:id="0" w:name="ТекстовоеПоле84"/>
      <w:r>
        <w:fldChar w:fldCharType="begin">
          <w:ffData>
            <w:name w:val="ТекстовоеПоле84"/>
            <w:enabled/>
            <w:calcOnExit w:val="0"/>
            <w:textInput>
              <w:default w:val=" 1 "/>
            </w:textInput>
          </w:ffData>
        </w:fldChar>
      </w:r>
      <w:r>
        <w:rPr>
          <w:sz w:val="24"/>
          <w:szCs w:val="24"/>
          <w:highlight w:val="lightGray"/>
        </w:rPr>
        <w:instrText xml:space="preserve"> FORMTEXT </w:instrText>
      </w:r>
      <w:r>
        <w:fldChar w:fldCharType="separate"/>
      </w:r>
      <w:r>
        <w:rPr>
          <w:noProof/>
          <w:sz w:val="24"/>
          <w:szCs w:val="24"/>
          <w:highlight w:val="lightGray"/>
        </w:rPr>
        <w:t xml:space="preserve"> 1 </w:t>
      </w:r>
      <w:r>
        <w:fldChar w:fldCharType="end"/>
      </w:r>
      <w:bookmarkEnd w:id="0"/>
      <w:r>
        <w:rPr>
          <w:sz w:val="24"/>
          <w:szCs w:val="24"/>
        </w:rPr>
        <w:t xml:space="preserve"> % от общего количества Товара поставленного за один календарный квартал (т.е. критичный брак выявлен в Товаре, количество которого составляет </w:t>
      </w:r>
      <w:bookmarkStart w:id="1" w:name="ТекстовоеПоле86"/>
      <w:r>
        <w:fldChar w:fldCharType="begin">
          <w:ffData>
            <w:name w:val="ТекстовоеПоле86"/>
            <w:enabled/>
            <w:calcOnExit w:val="0"/>
            <w:textInput>
              <w:default w:val="1"/>
            </w:textInput>
          </w:ffData>
        </w:fldChar>
      </w:r>
      <w:r>
        <w:rPr>
          <w:sz w:val="24"/>
          <w:szCs w:val="24"/>
          <w:highlight w:val="lightGray"/>
        </w:rPr>
        <w:instrText xml:space="preserve"> FORMTEXT </w:instrText>
      </w:r>
      <w:r>
        <w:fldChar w:fldCharType="separate"/>
      </w:r>
      <w:r>
        <w:rPr>
          <w:noProof/>
          <w:sz w:val="24"/>
          <w:szCs w:val="24"/>
          <w:highlight w:val="lightGray"/>
        </w:rPr>
        <w:t>1</w:t>
      </w:r>
      <w:r>
        <w:fldChar w:fldCharType="end"/>
      </w:r>
      <w:bookmarkEnd w:id="1"/>
      <w:r>
        <w:rPr>
          <w:sz w:val="24"/>
          <w:szCs w:val="24"/>
        </w:rPr>
        <w:t xml:space="preserve"> % от общего количества Товара поставленного за один календарный квартал). </w:t>
      </w:r>
    </w:p>
    <w:p w:rsidR="00E06173" w:rsidRDefault="00B2207A">
      <w:pPr>
        <w:spacing w:line="240" w:lineRule="auto"/>
        <w:ind w:firstLine="709"/>
        <w:rPr>
          <w:sz w:val="24"/>
          <w:szCs w:val="24"/>
        </w:rPr>
      </w:pPr>
      <w:r>
        <w:rPr>
          <w:sz w:val="24"/>
          <w:szCs w:val="24"/>
        </w:rPr>
        <w:t>К критичному браку относятся следующие недостатки Товара:</w:t>
      </w:r>
    </w:p>
    <w:p w:rsidR="00E06173" w:rsidRDefault="00B2207A">
      <w:pPr>
        <w:numPr>
          <w:ilvl w:val="0"/>
          <w:numId w:val="2"/>
        </w:numPr>
        <w:spacing w:line="240" w:lineRule="auto"/>
        <w:jc w:val="left"/>
        <w:rPr>
          <w:sz w:val="24"/>
          <w:szCs w:val="24"/>
        </w:rPr>
      </w:pPr>
      <w:r>
        <w:rPr>
          <w:sz w:val="24"/>
          <w:szCs w:val="24"/>
        </w:rPr>
        <w:t>Некомплектность;</w:t>
      </w:r>
    </w:p>
    <w:p w:rsidR="00E06173" w:rsidRDefault="00B2207A">
      <w:pPr>
        <w:numPr>
          <w:ilvl w:val="0"/>
          <w:numId w:val="2"/>
        </w:numPr>
        <w:spacing w:line="240" w:lineRule="auto"/>
        <w:jc w:val="left"/>
        <w:rPr>
          <w:sz w:val="24"/>
          <w:szCs w:val="24"/>
        </w:rPr>
      </w:pPr>
      <w:r>
        <w:rPr>
          <w:sz w:val="24"/>
          <w:szCs w:val="24"/>
        </w:rPr>
        <w:t>Несоответствие техническим требованиям, предусмотренным Договором;</w:t>
      </w:r>
    </w:p>
    <w:p w:rsidR="00E06173" w:rsidRDefault="00B2207A">
      <w:pPr>
        <w:numPr>
          <w:ilvl w:val="0"/>
          <w:numId w:val="2"/>
        </w:numPr>
        <w:spacing w:line="240" w:lineRule="auto"/>
        <w:jc w:val="left"/>
        <w:rPr>
          <w:sz w:val="24"/>
          <w:szCs w:val="24"/>
        </w:rPr>
      </w:pPr>
      <w:r>
        <w:rPr>
          <w:sz w:val="24"/>
          <w:szCs w:val="24"/>
        </w:rPr>
        <w:t>Невозможность Товара функционировать в соответствии с эксплуатационными параметрами, указанными в ДОГОВОРЕ, а при их отсутствии в соответствии с расчетными параметрами производителя для такого Товара;</w:t>
      </w:r>
    </w:p>
    <w:p w:rsidR="00E06173" w:rsidRDefault="00B2207A">
      <w:pPr>
        <w:numPr>
          <w:ilvl w:val="0"/>
          <w:numId w:val="2"/>
        </w:numPr>
        <w:spacing w:line="240" w:lineRule="auto"/>
        <w:jc w:val="left"/>
        <w:rPr>
          <w:sz w:val="24"/>
          <w:szCs w:val="24"/>
        </w:rPr>
      </w:pPr>
      <w:r>
        <w:rPr>
          <w:sz w:val="24"/>
          <w:szCs w:val="24"/>
        </w:rPr>
        <w:t xml:space="preserve">Дефекты и повреждения, недопустимые в соответствии с нормативными документами, устанавливающими технические требования к Товару; </w:t>
      </w:r>
    </w:p>
    <w:p w:rsidR="00E06173" w:rsidRDefault="00E06173">
      <w:pPr>
        <w:spacing w:line="240" w:lineRule="auto"/>
        <w:ind w:left="360" w:firstLine="0"/>
        <w:jc w:val="left"/>
        <w:rPr>
          <w:sz w:val="24"/>
          <w:szCs w:val="24"/>
        </w:rPr>
      </w:pPr>
    </w:p>
    <w:p w:rsidR="00E06173" w:rsidRDefault="00B2207A">
      <w:pPr>
        <w:spacing w:before="120" w:line="240" w:lineRule="auto"/>
        <w:ind w:firstLine="709"/>
        <w:rPr>
          <w:sz w:val="24"/>
          <w:szCs w:val="24"/>
        </w:rPr>
      </w:pPr>
      <w:r>
        <w:rPr>
          <w:sz w:val="24"/>
          <w:szCs w:val="24"/>
        </w:rPr>
        <w:t xml:space="preserve">Недостатки упаковки, которые могут привести к повреждению Товара во время его транспортировки и хранения, а также недостатки оформления и содержания паспортов на Товар и </w:t>
      </w:r>
      <w:proofErr w:type="gramStart"/>
      <w:r>
        <w:rPr>
          <w:sz w:val="24"/>
          <w:szCs w:val="24"/>
        </w:rPr>
        <w:t>иных  эксплуатационных</w:t>
      </w:r>
      <w:proofErr w:type="gramEnd"/>
      <w:r>
        <w:rPr>
          <w:sz w:val="24"/>
          <w:szCs w:val="24"/>
        </w:rPr>
        <w:t xml:space="preserve"> документов, некомплектность запасных частей, инструментов и принадлежностей (ЗИП), относятся к критичному браку в случае их не устранения Поставщиком в течение срока, предусмотренного Договором</w:t>
      </w:r>
    </w:p>
    <w:p w:rsidR="00E06173" w:rsidRDefault="00E06173">
      <w:pPr>
        <w:tabs>
          <w:tab w:val="left" w:pos="284"/>
        </w:tabs>
        <w:spacing w:line="240" w:lineRule="auto"/>
        <w:ind w:firstLine="709"/>
        <w:rPr>
          <w:sz w:val="24"/>
          <w:szCs w:val="24"/>
        </w:rPr>
      </w:pPr>
    </w:p>
    <w:p w:rsidR="00E06173" w:rsidRDefault="00B2207A">
      <w:pPr>
        <w:tabs>
          <w:tab w:val="left" w:pos="284"/>
        </w:tabs>
        <w:spacing w:line="240" w:lineRule="auto"/>
        <w:ind w:firstLine="709"/>
        <w:rPr>
          <w:sz w:val="24"/>
          <w:szCs w:val="24"/>
        </w:rPr>
      </w:pPr>
      <w:r>
        <w:rPr>
          <w:sz w:val="24"/>
          <w:szCs w:val="24"/>
        </w:rPr>
        <w:t xml:space="preserve">2. Фактический уровень допущенного Поставщиком критичного брака рассчитывается за календарный квартал на основании Актов о выявленных недостатках Товара, оформленных в </w:t>
      </w:r>
      <w:proofErr w:type="gramStart"/>
      <w:r>
        <w:rPr>
          <w:sz w:val="24"/>
          <w:szCs w:val="24"/>
        </w:rPr>
        <w:t>отношении  Товара</w:t>
      </w:r>
      <w:proofErr w:type="gramEnd"/>
      <w:r>
        <w:rPr>
          <w:sz w:val="24"/>
          <w:szCs w:val="24"/>
        </w:rPr>
        <w:t xml:space="preserve"> с учетом фактических сроков и объемов поставки Товара за анализируемый квартал. Уровень критичного брака рассчитывается отдельно по каждому виду Товара. </w:t>
      </w:r>
    </w:p>
    <w:p w:rsidR="00E06173" w:rsidRDefault="00B2207A">
      <w:pPr>
        <w:spacing w:before="120" w:line="240" w:lineRule="auto"/>
        <w:ind w:firstLine="709"/>
        <w:rPr>
          <w:sz w:val="24"/>
          <w:szCs w:val="24"/>
        </w:rPr>
      </w:pPr>
      <w:r>
        <w:rPr>
          <w:sz w:val="24"/>
          <w:szCs w:val="24"/>
        </w:rPr>
        <w:t xml:space="preserve">3. В случае, если фактический уровень критичного брака Товара за один календарный квартал (по любому виду Товара) превышает максимальный уровень, техническая инспекция на заводе-изготовителе размещается за счет Поставщика и осуществляется в порядке, предусмотренном разделом 10 Договора. </w:t>
      </w:r>
    </w:p>
    <w:p w:rsidR="00E06173" w:rsidRDefault="00B2207A">
      <w:pPr>
        <w:spacing w:before="120" w:line="240" w:lineRule="auto"/>
        <w:ind w:firstLine="709"/>
        <w:rPr>
          <w:sz w:val="24"/>
          <w:szCs w:val="24"/>
        </w:rPr>
      </w:pPr>
      <w:r>
        <w:rPr>
          <w:sz w:val="24"/>
          <w:szCs w:val="24"/>
        </w:rPr>
        <w:t xml:space="preserve">4.   Объем технической инспекции и количество инспекторов определяется Покупателем исходя из выявленных за отчетный период недостатков Товара, количества производственных площадок, вовлеченных в изготовление Товара и сменности работы на производственных </w:t>
      </w:r>
      <w:r>
        <w:rPr>
          <w:sz w:val="24"/>
          <w:szCs w:val="24"/>
        </w:rPr>
        <w:lastRenderedPageBreak/>
        <w:t>площадках.</w:t>
      </w:r>
    </w:p>
    <w:p w:rsidR="00E06173" w:rsidRDefault="00B2207A">
      <w:pPr>
        <w:spacing w:before="120" w:line="240" w:lineRule="auto"/>
        <w:ind w:firstLine="709"/>
        <w:rPr>
          <w:sz w:val="24"/>
          <w:szCs w:val="24"/>
        </w:rPr>
      </w:pPr>
      <w:r>
        <w:rPr>
          <w:sz w:val="24"/>
          <w:szCs w:val="24"/>
        </w:rPr>
        <w:t>5.  Техническая инспекция, проводимая за счет Поставщика, назначается на срок не менее одного календарного месяца.</w:t>
      </w:r>
    </w:p>
    <w:p w:rsidR="00E06173" w:rsidRDefault="00B2207A">
      <w:pPr>
        <w:spacing w:before="120" w:line="240" w:lineRule="auto"/>
        <w:ind w:firstLine="709"/>
        <w:rPr>
          <w:sz w:val="24"/>
          <w:szCs w:val="24"/>
        </w:rPr>
      </w:pPr>
      <w:r>
        <w:rPr>
          <w:sz w:val="24"/>
          <w:szCs w:val="24"/>
        </w:rPr>
        <w:t xml:space="preserve">При этом, если в квартале, следующем за кварталом, в котором было выявлено превышение максимального уровня критичного брака (который стал основанием для проведения инспекции за счет Поставщика), такого превышения выявлено не было, техническая инспекция, проводимая за счет Поставщика, не может длиться более 1 квартала. </w:t>
      </w:r>
    </w:p>
    <w:p w:rsidR="00E06173" w:rsidRDefault="00B2207A">
      <w:pPr>
        <w:spacing w:before="120" w:line="240" w:lineRule="auto"/>
        <w:ind w:firstLine="709"/>
        <w:rPr>
          <w:sz w:val="24"/>
          <w:szCs w:val="24"/>
        </w:rPr>
      </w:pPr>
      <w:r>
        <w:rPr>
          <w:sz w:val="24"/>
          <w:szCs w:val="24"/>
        </w:rPr>
        <w:t xml:space="preserve">Таким образом, если в квартале, в котором проводилась техническая инспекция за счет Поставщика Поставщиком не было допущено превышение максимального уровня критичного брака продолжение технической </w:t>
      </w:r>
      <w:proofErr w:type="gramStart"/>
      <w:r>
        <w:rPr>
          <w:sz w:val="24"/>
          <w:szCs w:val="24"/>
        </w:rPr>
        <w:t>инспекции  возможно</w:t>
      </w:r>
      <w:proofErr w:type="gramEnd"/>
      <w:r>
        <w:rPr>
          <w:sz w:val="24"/>
          <w:szCs w:val="24"/>
        </w:rPr>
        <w:t xml:space="preserve"> за счет Покупателя и расходы Покупателя на продолжение инспекции не подлежат возмещению Поставщиком.</w:t>
      </w:r>
    </w:p>
    <w:p w:rsidR="00E06173" w:rsidRDefault="00B2207A">
      <w:pPr>
        <w:spacing w:before="120" w:line="240" w:lineRule="auto"/>
        <w:ind w:firstLine="709"/>
        <w:rPr>
          <w:sz w:val="24"/>
          <w:szCs w:val="24"/>
        </w:rPr>
      </w:pPr>
      <w:r>
        <w:rPr>
          <w:sz w:val="24"/>
          <w:szCs w:val="24"/>
        </w:rPr>
        <w:t xml:space="preserve">6. </w:t>
      </w:r>
      <w:r w:rsidR="00E5381B" w:rsidRPr="00E5381B">
        <w:rPr>
          <w:sz w:val="24"/>
          <w:szCs w:val="24"/>
        </w:rPr>
        <w:t xml:space="preserve">Поставщик обязуется возместить Покупателю убытки в  размере полной стоимости расходов понесенных на </w:t>
      </w:r>
      <w:r w:rsidR="004E71B1" w:rsidRPr="004E71B1">
        <w:rPr>
          <w:sz w:val="24"/>
          <w:szCs w:val="24"/>
        </w:rPr>
        <w:t xml:space="preserve">проведение </w:t>
      </w:r>
      <w:r w:rsidR="00E5381B" w:rsidRPr="00E5381B">
        <w:rPr>
          <w:sz w:val="24"/>
          <w:szCs w:val="24"/>
        </w:rPr>
        <w:t>технических инспекций, которые в соответствии с условиями настоящего Приложения осуществляются за счет Поставщика. Возмещение убытков осуществляется на основании претензии Покупателя с приложением копий первичных документов, подтверждающих размер понесенных убытков. Возмещение убытков производится в течение 60 (Шестидесяти) календарных дней с момента направления претензии в адрес Поставщика путем перечисления денежных средств на расчетный счет Покупателя</w:t>
      </w:r>
      <w:r>
        <w:rPr>
          <w:sz w:val="24"/>
          <w:szCs w:val="24"/>
        </w:rPr>
        <w:t>.</w:t>
      </w:r>
    </w:p>
    <w:p w:rsidR="00E06173" w:rsidRDefault="00B2207A">
      <w:pPr>
        <w:spacing w:before="120" w:line="240" w:lineRule="auto"/>
        <w:ind w:firstLine="709"/>
        <w:rPr>
          <w:sz w:val="24"/>
          <w:szCs w:val="24"/>
        </w:rPr>
      </w:pPr>
      <w:r>
        <w:rPr>
          <w:sz w:val="24"/>
          <w:szCs w:val="24"/>
        </w:rPr>
        <w:t xml:space="preserve">7. </w:t>
      </w:r>
      <w:r w:rsidR="005B31FD" w:rsidRPr="005B31FD">
        <w:rPr>
          <w:sz w:val="24"/>
          <w:szCs w:val="24"/>
        </w:rPr>
        <w:t xml:space="preserve">Размер убытков в виде полной стоимости </w:t>
      </w:r>
      <w:proofErr w:type="gramStart"/>
      <w:r w:rsidR="005B31FD" w:rsidRPr="005B31FD">
        <w:rPr>
          <w:sz w:val="24"/>
          <w:szCs w:val="24"/>
        </w:rPr>
        <w:t>расходов,  понесенных</w:t>
      </w:r>
      <w:proofErr w:type="gramEnd"/>
      <w:r w:rsidR="005B31FD" w:rsidRPr="005B31FD">
        <w:rPr>
          <w:sz w:val="24"/>
          <w:szCs w:val="24"/>
        </w:rPr>
        <w:t xml:space="preserve"> на проведение технических инспекций определяется как сумма всех затрат Покупателя, связанных с подготовкой и проведением технических инспекций и подтверждается копиями первичных документов, выставленными в адрес Покупателя сторонними организациями, привлекаемыми для проведения технических инспекций на производственных мощностях Поставщика, а так же другими документами, подтверждающими расходы  Покупателя</w:t>
      </w:r>
      <w:r>
        <w:rPr>
          <w:sz w:val="24"/>
          <w:szCs w:val="24"/>
        </w:rPr>
        <w:t>.</w:t>
      </w:r>
    </w:p>
    <w:p w:rsidR="00E06173" w:rsidRPr="008130A1" w:rsidRDefault="00B2207A">
      <w:pPr>
        <w:spacing w:before="120" w:line="240" w:lineRule="auto"/>
        <w:ind w:firstLine="709"/>
        <w:rPr>
          <w:sz w:val="24"/>
          <w:szCs w:val="24"/>
        </w:rPr>
      </w:pPr>
      <w:r>
        <w:rPr>
          <w:sz w:val="24"/>
          <w:szCs w:val="24"/>
        </w:rPr>
        <w:t xml:space="preserve">8. </w:t>
      </w:r>
      <w:r w:rsidR="008130A1" w:rsidRPr="008130A1">
        <w:rPr>
          <w:sz w:val="24"/>
          <w:szCs w:val="24"/>
        </w:rPr>
        <w:t>Датой возмещения убытков Покупателя является дата списания денежных средств с расчетного счета Поставщика.</w:t>
      </w:r>
    </w:p>
    <w:p w:rsidR="00E06173" w:rsidRDefault="00B2207A">
      <w:pPr>
        <w:spacing w:before="120" w:line="240" w:lineRule="auto"/>
        <w:ind w:firstLine="709"/>
        <w:rPr>
          <w:sz w:val="24"/>
          <w:szCs w:val="24"/>
        </w:rPr>
      </w:pPr>
      <w:r>
        <w:rPr>
          <w:sz w:val="24"/>
          <w:szCs w:val="24"/>
        </w:rPr>
        <w:t xml:space="preserve">9. </w:t>
      </w:r>
      <w:r w:rsidR="008130A1" w:rsidRPr="008130A1">
        <w:rPr>
          <w:sz w:val="24"/>
          <w:szCs w:val="24"/>
        </w:rPr>
        <w:t>В случае нарушения сроков возмещения убытков Покупателя, Поставщик уплачивает По</w:t>
      </w:r>
      <w:r w:rsidR="008130A1">
        <w:rPr>
          <w:sz w:val="24"/>
          <w:szCs w:val="24"/>
        </w:rPr>
        <w:t>купателю пеню в размере 0,3% от</w:t>
      </w:r>
      <w:r w:rsidR="008130A1" w:rsidRPr="008130A1">
        <w:rPr>
          <w:sz w:val="24"/>
          <w:szCs w:val="24"/>
        </w:rPr>
        <w:t xml:space="preserve"> неоплаченной в срок суммы, за каждый день просрочки</w:t>
      </w:r>
      <w:r>
        <w:rPr>
          <w:sz w:val="24"/>
          <w:szCs w:val="24"/>
        </w:rPr>
        <w:t>.</w:t>
      </w:r>
    </w:p>
    <w:p w:rsidR="00E06173" w:rsidRDefault="00B2207A">
      <w:pPr>
        <w:spacing w:before="120" w:line="240" w:lineRule="auto"/>
        <w:ind w:firstLine="709"/>
        <w:rPr>
          <w:sz w:val="24"/>
          <w:szCs w:val="24"/>
        </w:rPr>
      </w:pPr>
      <w:r>
        <w:rPr>
          <w:sz w:val="24"/>
          <w:szCs w:val="24"/>
        </w:rPr>
        <w:t xml:space="preserve">10. Настоящее Приложение вступает в силу с момента его подписания обеими Сторонами и действует до исполнения сторонами своих обязательств. </w:t>
      </w:r>
    </w:p>
    <w:p w:rsidR="00E06173" w:rsidRDefault="00B2207A">
      <w:pPr>
        <w:spacing w:before="120" w:line="240" w:lineRule="auto"/>
        <w:ind w:firstLine="709"/>
        <w:rPr>
          <w:sz w:val="24"/>
          <w:szCs w:val="24"/>
        </w:rPr>
      </w:pPr>
      <w:r>
        <w:rPr>
          <w:sz w:val="24"/>
          <w:szCs w:val="24"/>
        </w:rPr>
        <w:t>11. Настоящее Приложение является неотъемлемой частью Договора, составлено в двух экземплярах, имеющих равную юридическую силу, по одному для каждой из Сторон.</w:t>
      </w:r>
    </w:p>
    <w:p w:rsidR="00E06173" w:rsidRDefault="00B2207A">
      <w:pPr>
        <w:spacing w:before="120" w:line="240" w:lineRule="auto"/>
        <w:ind w:firstLine="709"/>
        <w:rPr>
          <w:sz w:val="24"/>
          <w:szCs w:val="24"/>
        </w:rPr>
      </w:pPr>
      <w:r>
        <w:rPr>
          <w:sz w:val="24"/>
          <w:szCs w:val="24"/>
        </w:rPr>
        <w:t>12. Во всем остальном, что не оговорено в настоящем Приложении, действуют условия Договора.</w:t>
      </w:r>
    </w:p>
    <w:p w:rsidR="00E06173" w:rsidRDefault="00E06173">
      <w:pPr>
        <w:spacing w:before="120" w:line="240" w:lineRule="auto"/>
        <w:ind w:firstLine="709"/>
        <w:rPr>
          <w:sz w:val="24"/>
          <w:szCs w:val="24"/>
        </w:rPr>
      </w:pPr>
    </w:p>
    <w:p w:rsidR="00E06173" w:rsidRDefault="00E06173">
      <w:pPr>
        <w:spacing w:line="240" w:lineRule="auto"/>
        <w:ind w:firstLine="561"/>
        <w:jc w:val="center"/>
        <w:rPr>
          <w:b/>
          <w:sz w:val="24"/>
          <w:szCs w:val="24"/>
        </w:rPr>
      </w:pPr>
    </w:p>
    <w:p w:rsidR="00E06173" w:rsidRDefault="00B2207A">
      <w:pPr>
        <w:spacing w:line="240" w:lineRule="auto"/>
        <w:ind w:firstLine="561"/>
        <w:jc w:val="center"/>
        <w:rPr>
          <w:b/>
          <w:sz w:val="24"/>
          <w:szCs w:val="24"/>
        </w:rPr>
      </w:pPr>
      <w:r>
        <w:rPr>
          <w:b/>
          <w:sz w:val="24"/>
          <w:szCs w:val="24"/>
        </w:rPr>
        <w:t>Подписи Сторон</w:t>
      </w:r>
    </w:p>
    <w:p w:rsidR="00E06173" w:rsidRDefault="00E06173">
      <w:pPr>
        <w:spacing w:line="240" w:lineRule="auto"/>
        <w:ind w:firstLine="561"/>
        <w:jc w:val="center"/>
        <w:rPr>
          <w:b/>
          <w:sz w:val="24"/>
          <w:szCs w:val="24"/>
        </w:rPr>
      </w:pPr>
    </w:p>
    <w:tbl>
      <w:tblPr>
        <w:tblW w:w="0" w:type="auto"/>
        <w:tblLook w:val="01E0" w:firstRow="1" w:lastRow="1" w:firstColumn="1" w:lastColumn="1" w:noHBand="0" w:noVBand="0"/>
      </w:tblPr>
      <w:tblGrid>
        <w:gridCol w:w="4968"/>
        <w:gridCol w:w="4864"/>
      </w:tblGrid>
      <w:tr w:rsidR="00E06173">
        <w:tc>
          <w:tcPr>
            <w:tcW w:w="4968" w:type="dxa"/>
            <w:hideMark/>
          </w:tcPr>
          <w:p w:rsidR="00E06173" w:rsidRDefault="00B2207A">
            <w:pPr>
              <w:jc w:val="center"/>
              <w:rPr>
                <w:b/>
                <w:sz w:val="24"/>
                <w:szCs w:val="24"/>
              </w:rPr>
            </w:pPr>
            <w:r>
              <w:rPr>
                <w:b/>
                <w:sz w:val="24"/>
                <w:szCs w:val="24"/>
              </w:rPr>
              <w:t>Покупатель:</w:t>
            </w:r>
          </w:p>
        </w:tc>
        <w:tc>
          <w:tcPr>
            <w:tcW w:w="4864" w:type="dxa"/>
            <w:hideMark/>
          </w:tcPr>
          <w:p w:rsidR="00E06173" w:rsidRDefault="00B2207A">
            <w:pPr>
              <w:jc w:val="center"/>
              <w:rPr>
                <w:b/>
                <w:sz w:val="24"/>
                <w:szCs w:val="24"/>
              </w:rPr>
            </w:pPr>
            <w:r>
              <w:rPr>
                <w:b/>
                <w:sz w:val="24"/>
                <w:szCs w:val="24"/>
              </w:rPr>
              <w:t>Поставщик:</w:t>
            </w:r>
          </w:p>
        </w:tc>
      </w:tr>
      <w:tr w:rsidR="00E06173">
        <w:tc>
          <w:tcPr>
            <w:tcW w:w="4968" w:type="dxa"/>
          </w:tcPr>
          <w:p w:rsidR="00E06173" w:rsidRDefault="00E06173">
            <w:pPr>
              <w:rPr>
                <w:b/>
                <w:sz w:val="24"/>
                <w:szCs w:val="24"/>
              </w:rPr>
            </w:pPr>
          </w:p>
          <w:p w:rsidR="00E06173" w:rsidRDefault="00E06173">
            <w:pPr>
              <w:rPr>
                <w:b/>
                <w:sz w:val="24"/>
                <w:szCs w:val="24"/>
              </w:rPr>
            </w:pPr>
          </w:p>
          <w:p w:rsidR="00E06173" w:rsidRPr="00EF479A" w:rsidRDefault="00EF479A">
            <w:pPr>
              <w:rPr>
                <w:b/>
                <w:sz w:val="24"/>
                <w:szCs w:val="24"/>
                <w:lang w:val="en-US"/>
              </w:rPr>
            </w:pPr>
            <w:r>
              <w:rPr>
                <w:lang w:val="en-US"/>
              </w:rPr>
              <w:t xml:space="preserve"> </w:t>
            </w:r>
          </w:p>
        </w:tc>
        <w:tc>
          <w:tcPr>
            <w:tcW w:w="4864" w:type="dxa"/>
          </w:tcPr>
          <w:p w:rsidR="00E06173" w:rsidRDefault="00E06173">
            <w:pPr>
              <w:rPr>
                <w:b/>
                <w:sz w:val="24"/>
                <w:szCs w:val="24"/>
                <w:highlight w:val="lightGray"/>
              </w:rPr>
            </w:pPr>
          </w:p>
          <w:p w:rsidR="00E06173" w:rsidRDefault="00E06173">
            <w:pPr>
              <w:rPr>
                <w:b/>
                <w:sz w:val="24"/>
                <w:szCs w:val="24"/>
                <w:highlight w:val="lightGray"/>
              </w:rPr>
            </w:pPr>
          </w:p>
          <w:p w:rsidR="00E06173" w:rsidRPr="00EF479A" w:rsidRDefault="00EF479A" w:rsidP="00EF479A">
            <w:pPr>
              <w:rPr>
                <w:b/>
                <w:sz w:val="24"/>
                <w:szCs w:val="24"/>
                <w:lang w:val="en-US"/>
              </w:rPr>
            </w:pPr>
            <w:r>
              <w:rPr>
                <w:b/>
                <w:sz w:val="24"/>
                <w:szCs w:val="24"/>
                <w:highlight w:val="lightGray"/>
                <w:lang w:val="en-US"/>
              </w:rPr>
              <w:t xml:space="preserve"> </w:t>
            </w:r>
            <w:r>
              <w:rPr>
                <w:b/>
                <w:sz w:val="24"/>
                <w:szCs w:val="24"/>
                <w:lang w:val="en-US"/>
              </w:rPr>
              <w:t xml:space="preserve"> </w:t>
            </w:r>
            <w:bookmarkStart w:id="2" w:name="_GoBack"/>
            <w:bookmarkEnd w:id="2"/>
          </w:p>
        </w:tc>
      </w:tr>
    </w:tbl>
    <w:p w:rsidR="00B2207A" w:rsidRDefault="00B2207A">
      <w:pPr>
        <w:pStyle w:val="a7"/>
        <w:spacing w:before="0"/>
        <w:rPr>
          <w:szCs w:val="24"/>
        </w:rPr>
      </w:pPr>
    </w:p>
    <w:sectPr w:rsidR="00B2207A">
      <w:headerReference w:type="default" r:id="rId7"/>
      <w:pgSz w:w="11900" w:h="16820"/>
      <w:pgMar w:top="992" w:right="851" w:bottom="851"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BA3" w:rsidRDefault="00455BA3">
      <w:r>
        <w:separator/>
      </w:r>
    </w:p>
  </w:endnote>
  <w:endnote w:type="continuationSeparator" w:id="0">
    <w:p w:rsidR="00455BA3" w:rsidRDefault="00455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BA3" w:rsidRDefault="00455BA3">
      <w:r>
        <w:separator/>
      </w:r>
    </w:p>
  </w:footnote>
  <w:footnote w:type="continuationSeparator" w:id="0">
    <w:p w:rsidR="00455BA3" w:rsidRDefault="00455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173" w:rsidRDefault="00EF479A">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84511" o:spid="_x0000_s2049" type="#_x0000_t136" style="position:absolute;left:0;text-align:left;margin-left:0;margin-top:0;width:572.6pt;height:104.1pt;rotation:315;z-index:251658240;mso-position-horizontal:center;mso-position-horizontal-relative:margin;mso-position-vertical:center;mso-position-vertical-relative:margin" fillcolor="silver" stroked="f">
          <v:fill opacity=".5"/>
          <v:stroke r:id="rId1" o:title=""/>
          <v:shadow color="#868686"/>
          <v:textpath style="font-family:&quot;Times New Roman&quot;;font-size:1pt;v-text-kern:t" trim="t" fitpath="t" string="РН СТАНДАРТ"/>
          <o:lock v:ext="edit" aspectratio="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D1711A"/>
    <w:multiLevelType w:val="hybridMultilevel"/>
    <w:tmpl w:val="6E844CBE"/>
    <w:lvl w:ilvl="0" w:tplc="B510DA2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cumentProtection w:edit="forms"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58B"/>
    <w:rsid w:val="000727A4"/>
    <w:rsid w:val="000E5340"/>
    <w:rsid w:val="001C2587"/>
    <w:rsid w:val="002D1570"/>
    <w:rsid w:val="00366C8A"/>
    <w:rsid w:val="00455BA3"/>
    <w:rsid w:val="004E71B1"/>
    <w:rsid w:val="005B31FD"/>
    <w:rsid w:val="00601C92"/>
    <w:rsid w:val="00654217"/>
    <w:rsid w:val="006836E0"/>
    <w:rsid w:val="006A1475"/>
    <w:rsid w:val="00714681"/>
    <w:rsid w:val="008130A1"/>
    <w:rsid w:val="0088171A"/>
    <w:rsid w:val="0093058B"/>
    <w:rsid w:val="00971991"/>
    <w:rsid w:val="00A70375"/>
    <w:rsid w:val="00B2207A"/>
    <w:rsid w:val="00B40FC7"/>
    <w:rsid w:val="00CD1EDD"/>
    <w:rsid w:val="00E06173"/>
    <w:rsid w:val="00E1296B"/>
    <w:rsid w:val="00E318CA"/>
    <w:rsid w:val="00E5381B"/>
    <w:rsid w:val="00E566FB"/>
    <w:rsid w:val="00E81D45"/>
    <w:rsid w:val="00EF479A"/>
    <w:rsid w:val="00F84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4052AD"/>
  <w15:chartTrackingRefBased/>
  <w15:docId w15:val="{B283D76E-1FCC-4864-B34A-0AC54C1F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napToGrid w:val="0"/>
      <w:spacing w:line="300" w:lineRule="auto"/>
      <w:ind w:firstLine="560"/>
      <w:jc w:val="both"/>
    </w:pPr>
    <w:rPr>
      <w:sz w:val="22"/>
    </w:rPr>
  </w:style>
  <w:style w:type="paragraph" w:styleId="1">
    <w:name w:val="heading 1"/>
    <w:basedOn w:val="a"/>
    <w:next w:val="a"/>
    <w:link w:val="10"/>
    <w:qFormat/>
    <w:pPr>
      <w:keepNext/>
      <w:spacing w:before="100" w:beforeAutospacing="1" w:line="240" w:lineRule="auto"/>
      <w:ind w:left="2478" w:right="2398" w:firstLine="0"/>
      <w:jc w:val="center"/>
      <w:outlineLvl w:val="0"/>
    </w:pPr>
    <w:rPr>
      <w:rFonts w:eastAsiaTheme="minorEastAsia"/>
      <w:b/>
      <w:sz w:val="24"/>
    </w:rPr>
  </w:style>
  <w:style w:type="paragraph" w:styleId="2">
    <w:name w:val="heading 2"/>
    <w:basedOn w:val="a"/>
    <w:next w:val="a"/>
    <w:link w:val="20"/>
    <w:qFormat/>
    <w:pPr>
      <w:keepNext/>
      <w:spacing w:line="240" w:lineRule="auto"/>
      <w:ind w:left="426" w:firstLine="141"/>
      <w:jc w:val="left"/>
      <w:outlineLvl w:val="1"/>
    </w:pPr>
    <w:rPr>
      <w:rFonts w:eastAsiaTheme="minorEastAsia"/>
      <w:b/>
      <w:sz w:val="24"/>
    </w:rPr>
  </w:style>
  <w:style w:type="paragraph" w:styleId="3">
    <w:name w:val="heading 3"/>
    <w:basedOn w:val="a"/>
    <w:next w:val="a"/>
    <w:link w:val="30"/>
    <w:qFormat/>
    <w:pPr>
      <w:keepNext/>
      <w:spacing w:line="240" w:lineRule="auto"/>
      <w:ind w:firstLine="720"/>
      <w:outlineLvl w:val="2"/>
    </w:pPr>
    <w:rPr>
      <w:rFonts w:eastAsiaTheme="minorEastAsia"/>
      <w:b/>
      <w:bCs/>
      <w:sz w:val="24"/>
    </w:rPr>
  </w:style>
  <w:style w:type="paragraph" w:styleId="4">
    <w:name w:val="heading 4"/>
    <w:basedOn w:val="a"/>
    <w:next w:val="a"/>
    <w:link w:val="40"/>
    <w:qFormat/>
    <w:pPr>
      <w:keepNext/>
      <w:tabs>
        <w:tab w:val="left" w:pos="4960"/>
      </w:tabs>
      <w:spacing w:line="240" w:lineRule="auto"/>
      <w:ind w:left="640" w:firstLine="0"/>
      <w:outlineLvl w:val="3"/>
    </w:pPr>
    <w:rPr>
      <w:rFonts w:eastAsiaTheme="minorEastAsia"/>
      <w:bCs/>
      <w:sz w:val="24"/>
    </w:rPr>
  </w:style>
  <w:style w:type="paragraph" w:styleId="5">
    <w:name w:val="heading 5"/>
    <w:basedOn w:val="a"/>
    <w:next w:val="a"/>
    <w:link w:val="50"/>
    <w:qFormat/>
    <w:pPr>
      <w:keepNext/>
      <w:tabs>
        <w:tab w:val="left" w:pos="4960"/>
      </w:tabs>
      <w:spacing w:line="240" w:lineRule="auto"/>
      <w:ind w:left="640" w:right="799" w:firstLine="0"/>
      <w:outlineLvl w:val="4"/>
    </w:pPr>
    <w:rPr>
      <w:rFonts w:eastAsiaTheme="minorEastAsia"/>
      <w:b/>
      <w:sz w:val="24"/>
    </w:rPr>
  </w:style>
  <w:style w:type="paragraph" w:styleId="7">
    <w:name w:val="heading 7"/>
    <w:basedOn w:val="a"/>
    <w:next w:val="a"/>
    <w:link w:val="70"/>
    <w:semiHidden/>
    <w:unhideWhenUsed/>
    <w:qFormat/>
    <w:pPr>
      <w:keepNext/>
      <w:widowControl/>
      <w:snapToGrid/>
      <w:spacing w:line="240" w:lineRule="auto"/>
      <w:ind w:firstLine="0"/>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0"/>
    <w:link w:val="4"/>
    <w:rPr>
      <w:rFonts w:asciiTheme="majorHAnsi" w:eastAsiaTheme="majorEastAsia" w:hAnsiTheme="majorHAnsi" w:cstheme="majorBidi"/>
      <w:i/>
      <w:iCs/>
      <w:color w:val="365F91" w:themeColor="accent1" w:themeShade="BF"/>
      <w:sz w:val="22"/>
    </w:rPr>
  </w:style>
  <w:style w:type="character" w:customStyle="1" w:styleId="50">
    <w:name w:val="Заголовок 5 Знак"/>
    <w:basedOn w:val="a0"/>
    <w:link w:val="5"/>
    <w:rPr>
      <w:rFonts w:asciiTheme="majorHAnsi" w:eastAsiaTheme="majorEastAsia" w:hAnsiTheme="majorHAnsi" w:cstheme="majorBidi"/>
      <w:color w:val="365F91" w:themeColor="accent1" w:themeShade="BF"/>
      <w:sz w:val="22"/>
    </w:rPr>
  </w:style>
  <w:style w:type="paragraph" w:customStyle="1" w:styleId="msonormal0">
    <w:name w:val="msonormal"/>
    <w:basedOn w:val="a"/>
    <w:pPr>
      <w:widowControl/>
      <w:snapToGrid/>
      <w:spacing w:before="100" w:beforeAutospacing="1" w:after="100" w:afterAutospacing="1" w:line="240" w:lineRule="auto"/>
      <w:ind w:firstLine="0"/>
      <w:jc w:val="left"/>
    </w:pPr>
    <w:rPr>
      <w:rFonts w:eastAsiaTheme="minorEastAsia"/>
      <w:sz w:val="24"/>
      <w:szCs w:val="24"/>
    </w:rPr>
  </w:style>
  <w:style w:type="character" w:customStyle="1" w:styleId="70">
    <w:name w:val="Заголовок 7 Знак"/>
    <w:basedOn w:val="a0"/>
    <w:link w:val="7"/>
    <w:semiHidden/>
    <w:rPr>
      <w:rFonts w:asciiTheme="majorHAnsi" w:eastAsiaTheme="majorEastAsia" w:hAnsiTheme="majorHAnsi" w:cstheme="majorBidi"/>
      <w:i/>
      <w:iCs/>
      <w:color w:val="243F60" w:themeColor="accent1" w:themeShade="7F"/>
      <w:sz w:val="22"/>
    </w:rPr>
  </w:style>
  <w:style w:type="paragraph" w:styleId="a3">
    <w:name w:val="header"/>
    <w:basedOn w:val="a"/>
    <w:link w:val="a4"/>
    <w:unhideWhenUsed/>
    <w:pPr>
      <w:tabs>
        <w:tab w:val="center" w:pos="4677"/>
        <w:tab w:val="right" w:pos="9355"/>
      </w:tabs>
    </w:pPr>
  </w:style>
  <w:style w:type="character" w:customStyle="1" w:styleId="a4">
    <w:name w:val="Верхний колонтитул Знак"/>
    <w:basedOn w:val="a0"/>
    <w:link w:val="a3"/>
    <w:rPr>
      <w:sz w:val="22"/>
    </w:rPr>
  </w:style>
  <w:style w:type="paragraph" w:styleId="a5">
    <w:name w:val="footer"/>
    <w:basedOn w:val="a"/>
    <w:link w:val="a6"/>
    <w:semiHidden/>
    <w:unhideWhenUsed/>
    <w:pPr>
      <w:tabs>
        <w:tab w:val="center" w:pos="4677"/>
        <w:tab w:val="right" w:pos="9355"/>
      </w:tabs>
    </w:pPr>
  </w:style>
  <w:style w:type="character" w:customStyle="1" w:styleId="a6">
    <w:name w:val="Нижний колонтитул Знак"/>
    <w:basedOn w:val="a0"/>
    <w:link w:val="a5"/>
    <w:semiHidden/>
    <w:rPr>
      <w:sz w:val="22"/>
    </w:rPr>
  </w:style>
  <w:style w:type="paragraph" w:styleId="a7">
    <w:name w:val="Body Text"/>
    <w:basedOn w:val="a"/>
    <w:link w:val="a8"/>
    <w:semiHidden/>
    <w:unhideWhenUsed/>
    <w:pPr>
      <w:spacing w:before="280" w:line="240" w:lineRule="auto"/>
      <w:ind w:firstLine="0"/>
    </w:pPr>
    <w:rPr>
      <w:b/>
      <w:sz w:val="24"/>
    </w:rPr>
  </w:style>
  <w:style w:type="character" w:customStyle="1" w:styleId="a8">
    <w:name w:val="Основной текст Знак"/>
    <w:basedOn w:val="a0"/>
    <w:link w:val="a7"/>
    <w:semiHidden/>
    <w:rPr>
      <w:sz w:val="22"/>
    </w:rPr>
  </w:style>
  <w:style w:type="paragraph" w:styleId="21">
    <w:name w:val="Body Text Indent 2"/>
    <w:basedOn w:val="a"/>
    <w:link w:val="22"/>
    <w:semiHidden/>
    <w:unhideWhenUsed/>
    <w:pPr>
      <w:spacing w:after="120" w:line="480" w:lineRule="auto"/>
      <w:ind w:left="283"/>
    </w:pPr>
  </w:style>
  <w:style w:type="character" w:customStyle="1" w:styleId="22">
    <w:name w:val="Основной текст с отступом 2 Знак"/>
    <w:basedOn w:val="a0"/>
    <w:link w:val="21"/>
    <w:semiHidden/>
    <w:rPr>
      <w:sz w:val="22"/>
    </w:rPr>
  </w:style>
  <w:style w:type="paragraph" w:styleId="31">
    <w:name w:val="Body Text Indent 3"/>
    <w:basedOn w:val="a"/>
    <w:link w:val="32"/>
    <w:semiHidden/>
    <w:unhideWhenUsed/>
    <w:pPr>
      <w:widowControl/>
      <w:snapToGrid/>
      <w:spacing w:after="120" w:line="240" w:lineRule="auto"/>
      <w:ind w:left="283" w:firstLine="0"/>
      <w:jc w:val="left"/>
    </w:pPr>
    <w:rPr>
      <w:sz w:val="16"/>
      <w:szCs w:val="16"/>
    </w:rPr>
  </w:style>
  <w:style w:type="character" w:customStyle="1" w:styleId="32">
    <w:name w:val="Основной текст с отступом 3 Знак"/>
    <w:link w:val="31"/>
    <w:semiHidden/>
    <w:locked/>
    <w:rPr>
      <w:sz w:val="16"/>
      <w:szCs w:val="16"/>
    </w:rPr>
  </w:style>
  <w:style w:type="paragraph" w:styleId="a9">
    <w:name w:val="Document Map"/>
    <w:basedOn w:val="a"/>
    <w:link w:val="aa"/>
    <w:semiHidden/>
    <w:unhideWhenUsed/>
    <w:pPr>
      <w:shd w:val="clear" w:color="auto" w:fill="000080"/>
    </w:pPr>
    <w:rPr>
      <w:rFonts w:ascii="Tahoma" w:hAnsi="Tahoma" w:cs="Tahoma"/>
      <w:sz w:val="20"/>
    </w:rPr>
  </w:style>
  <w:style w:type="character" w:customStyle="1" w:styleId="aa">
    <w:name w:val="Схема документа Знак"/>
    <w:basedOn w:val="a0"/>
    <w:link w:val="a9"/>
    <w:semiHidden/>
    <w:rPr>
      <w:rFonts w:ascii="Segoe UI" w:hAnsi="Segoe UI" w:cs="Segoe UI"/>
      <w:sz w:val="16"/>
      <w:szCs w:val="16"/>
    </w:rPr>
  </w:style>
  <w:style w:type="paragraph" w:styleId="ab">
    <w:name w:val="Balloon Text"/>
    <w:basedOn w:val="a"/>
    <w:link w:val="ac"/>
    <w:semiHidden/>
    <w:unhideWhenUsed/>
    <w:rPr>
      <w:rFonts w:ascii="Tahoma" w:hAnsi="Tahoma" w:cs="Tahoma"/>
      <w:sz w:val="16"/>
      <w:szCs w:val="16"/>
    </w:rPr>
  </w:style>
  <w:style w:type="character" w:customStyle="1" w:styleId="ac">
    <w:name w:val="Текст выноски Знак"/>
    <w:basedOn w:val="a0"/>
    <w:link w:val="ab"/>
    <w:semiHidden/>
    <w:rPr>
      <w:rFonts w:ascii="Segoe UI" w:hAnsi="Segoe UI" w:cs="Segoe UI"/>
      <w:sz w:val="18"/>
      <w:szCs w:val="18"/>
    </w:rPr>
  </w:style>
  <w:style w:type="paragraph" w:customStyle="1" w:styleId="11">
    <w:name w:val="1."/>
    <w:basedOn w:val="a"/>
    <w:pPr>
      <w:widowControl/>
      <w:overflowPunct w:val="0"/>
      <w:autoSpaceDE w:val="0"/>
      <w:autoSpaceDN w:val="0"/>
      <w:adjustRightInd w:val="0"/>
      <w:snapToGrid/>
      <w:spacing w:line="240" w:lineRule="atLeast"/>
      <w:ind w:left="720" w:hanging="720"/>
    </w:pPr>
    <w:rPr>
      <w:rFonts w:ascii="Helv" w:hAnsi="Helv"/>
      <w:sz w:val="20"/>
      <w:lang w:val="en-GB" w:eastAsia="en-US"/>
    </w:rPr>
  </w:style>
  <w:style w:type="table" w:styleId="ad">
    <w:name w:val="Table Grid"/>
    <w:basedOn w:val="a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649</Words>
  <Characters>4793</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ПРОТОКОЛ СОГЛАСОВАНИЯ ЦЕН</vt:lpstr>
    </vt:vector>
  </TitlesOfParts>
  <Company>tnk</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СОГЛАСОВАНИЯ ЦЕН</dc:title>
  <dc:subject/>
  <dc:creator>test</dc:creator>
  <cp:keywords/>
  <dc:description/>
  <cp:lastModifiedBy>Шабрин Сергей Анатольевич</cp:lastModifiedBy>
  <cp:revision>23</cp:revision>
  <cp:lastPrinted>2011-09-19T08:45:00Z</cp:lastPrinted>
  <dcterms:created xsi:type="dcterms:W3CDTF">2023-07-27T09:47:00Z</dcterms:created>
  <dcterms:modified xsi:type="dcterms:W3CDTF">2026-03-18T09:19:00Z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P_RSD_GUID">
    <vt:lpwstr>MZk4QWpWMh7X00002X165m</vt:lpwstr>
  </property>
</Properties>
</file>