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hanging="0"/>
        <w:jc w:val="center"/>
        <w:rPr/>
      </w:pPr>
      <w:r>
        <w:rPr>
          <w:b/>
          <w:color w:val="000000"/>
          <w:sz w:val="20"/>
          <w:szCs w:val="20"/>
        </w:rPr>
        <w:t xml:space="preserve">Договор № </w:t>
      </w:r>
      <w:bookmarkStart w:id="0" w:name="__DdeLink__10410_3608935919"/>
      <w:r>
        <w:rPr>
          <w:b/>
          <w:color w:val="000000"/>
          <w:sz w:val="20"/>
          <w:szCs w:val="20"/>
          <w:lang w:val="en-US"/>
        </w:rPr>
        <w:t>Z26</w:t>
      </w:r>
      <w:bookmarkEnd w:id="0"/>
      <w:r>
        <w:rPr>
          <w:b/>
          <w:color w:val="000000"/>
          <w:sz w:val="20"/>
          <w:szCs w:val="20"/>
          <w:lang w:val="en-US"/>
        </w:rPr>
        <w:t>_ID_________</w:t>
      </w:r>
    </w:p>
    <w:p>
      <w:pPr>
        <w:pStyle w:val="Normal"/>
        <w:ind w:left="0" w:right="0" w:hanging="0"/>
        <w:jc w:val="center"/>
        <w:rPr>
          <w:rFonts w:ascii="Times New Roman" w:hAnsi="Times New Roman"/>
          <w:sz w:val="20"/>
          <w:szCs w:val="20"/>
        </w:rPr>
      </w:pPr>
      <w:r>
        <w:rPr>
          <w:b/>
          <w:color w:val="000000"/>
          <w:sz w:val="20"/>
          <w:szCs w:val="20"/>
        </w:rPr>
        <w:t>о поставке Товара</w:t>
      </w:r>
    </w:p>
    <w:p>
      <w:pPr>
        <w:pStyle w:val="Normal"/>
        <w:ind w:left="0" w:right="0" w:hanging="0"/>
        <w:jc w:val="center"/>
        <w:rPr/>
      </w:pPr>
      <w:r>
        <w:rPr>
          <w:sz w:val="20"/>
          <w:szCs w:val="20"/>
        </w:rPr>
        <w:t>г. Екатеринбург</w:t>
        <w:tab/>
        <w:tab/>
        <w:tab/>
        <w:tab/>
        <w:tab/>
        <w:tab/>
        <w:tab/>
        <w:tab/>
        <w:tab/>
        <w:tab/>
        <w:t>«___» _________ 202</w:t>
      </w:r>
      <w:r>
        <w:rPr>
          <w:sz w:val="20"/>
          <w:szCs w:val="20"/>
          <w:lang w:val="ru-RU"/>
        </w:rPr>
        <w:t>6</w:t>
      </w:r>
      <w:r>
        <w:rPr>
          <w:sz w:val="20"/>
          <w:szCs w:val="20"/>
        </w:rPr>
        <w:t xml:space="preserve"> г.</w:t>
      </w:r>
    </w:p>
    <w:p>
      <w:pPr>
        <w:pStyle w:val="Normal"/>
        <w:ind w:left="0" w:right="0" w:firstLine="561"/>
        <w:rPr>
          <w:rFonts w:ascii="Times New Roman" w:hAnsi="Times New Roman"/>
          <w:sz w:val="20"/>
          <w:szCs w:val="20"/>
        </w:rPr>
      </w:pPr>
      <w:r>
        <w:rPr>
          <w:sz w:val="20"/>
          <w:szCs w:val="20"/>
        </w:rPr>
      </w:r>
    </w:p>
    <w:p>
      <w:pPr>
        <w:pStyle w:val="Normal"/>
        <w:jc w:val="both"/>
        <w:rPr/>
      </w:pPr>
      <w:r>
        <w:rPr>
          <w:sz w:val="20"/>
          <w:szCs w:val="20"/>
        </w:rPr>
        <w:t xml:space="preserve">______________________, именуемое в дальнейшем «Поставщик», в лице ____________________________, действующего(ей) на основании __________________, с одной стороны и Публичное акционерное общество «Машиностроительный завод имени М.И. Калинина, г. Екатеринбург» (ПАО «МЗИК»), именуемое в дальнейшем «Покупатель», в лице заместителя генерального директора Дементьева Максима Сергеевича, действующего на основании Доверенности </w:t>
      </w:r>
      <w:r>
        <w:rPr>
          <w:color w:val="auto"/>
          <w:sz w:val="20"/>
          <w:szCs w:val="20"/>
        </w:rPr>
        <w:t>№</w:t>
      </w:r>
      <w:bookmarkStart w:id="1" w:name="__DdeLink__5801_183168753"/>
      <w:r>
        <w:rPr>
          <w:color w:val="auto"/>
          <w:sz w:val="20"/>
          <w:szCs w:val="20"/>
        </w:rPr>
        <w:t>8</w:t>
      </w:r>
      <w:bookmarkEnd w:id="1"/>
      <w:r>
        <w:rPr>
          <w:color w:val="auto"/>
          <w:sz w:val="20"/>
          <w:szCs w:val="20"/>
        </w:rPr>
        <w:t>8/4 от 07.12.2025г</w:t>
      </w:r>
      <w:r>
        <w:rPr>
          <w:color w:val="auto"/>
          <w:sz w:val="20"/>
          <w:szCs w:val="20"/>
          <w:lang w:val="en-US"/>
        </w:rPr>
        <w:t>.</w:t>
      </w:r>
      <w:r>
        <w:rPr>
          <w:sz w:val="20"/>
          <w:szCs w:val="20"/>
        </w:rPr>
        <w:t xml:space="preserve">, с другой стороны, далее именуемые «Стороны», с соблюдением требований действующего законодательства РФ, Федерального закона №223-ФЗ от 18.07.2011г. «О закупках товаров, работ, услуг отдельными видами юридических лиц», руководствуясь Положением о закупке ПАО «МЗИК» (с изменениями, утвержденными Советом директоров ПАО «МЗИК», </w:t>
      </w:r>
      <w:r>
        <w:rPr>
          <w:rFonts w:cs="Times New Roman"/>
          <w:sz w:val="20"/>
          <w:szCs w:val="20"/>
        </w:rPr>
        <w:t>Протокол №24/31 от 18.05.2026г.</w:t>
      </w:r>
      <w:r>
        <w:rPr>
          <w:sz w:val="20"/>
          <w:szCs w:val="20"/>
        </w:rPr>
        <w:t>), заключили настоящий Договор о нижеследующем:</w:t>
      </w:r>
    </w:p>
    <w:p>
      <w:pPr>
        <w:pStyle w:val="Normal"/>
        <w:widowControl w:val="false"/>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color w:val="000000"/>
          <w:sz w:val="20"/>
          <w:szCs w:val="20"/>
        </w:rPr>
        <w:t>1. Предмет Договора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1.1. </w:t>
      </w:r>
      <w:r>
        <w:rPr>
          <w:sz w:val="20"/>
          <w:szCs w:val="20"/>
        </w:rPr>
        <w:t>Поставщик обязуется поставить Покупателю, а Покупатель принять и оплатить Товар, в порядке и на условиях, предусмотренных настоящим Договором и Спецификацией к нему (Приложение №1), являющейся его неотъемлемой частью.</w:t>
      </w:r>
    </w:p>
    <w:p>
      <w:pPr>
        <w:pStyle w:val="Style19"/>
        <w:numPr>
          <w:ilvl w:val="0"/>
          <w:numId w:val="0"/>
        </w:numPr>
        <w:tabs>
          <w:tab w:val="clear" w:pos="265"/>
          <w:tab w:val="left" w:pos="9" w:leader="none"/>
          <w:tab w:val="left" w:pos="567" w:leader="none"/>
        </w:tabs>
        <w:spacing w:before="0" w:after="0"/>
        <w:ind w:left="0" w:right="0" w:hanging="0"/>
        <w:jc w:val="both"/>
        <w:rPr>
          <w:rFonts w:ascii="Times New Roman" w:hAnsi="Times New Roman"/>
          <w:sz w:val="20"/>
          <w:szCs w:val="20"/>
        </w:rPr>
      </w:pPr>
      <w:r>
        <w:rPr>
          <w:b/>
          <w:sz w:val="20"/>
          <w:szCs w:val="20"/>
        </w:rPr>
        <w:t xml:space="preserve">1.2. </w:t>
      </w:r>
      <w:r>
        <w:rPr>
          <w:sz w:val="20"/>
          <w:szCs w:val="20"/>
        </w:rPr>
        <w:t>Поставщик гарантирует, что поставляемый им в рамках настоящего Договора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основных частей, не были восстановлены потребительские свойства).</w:t>
      </w:r>
    </w:p>
    <w:p>
      <w:pPr>
        <w:pStyle w:val="Style19"/>
        <w:numPr>
          <w:ilvl w:val="0"/>
          <w:numId w:val="0"/>
        </w:numPr>
        <w:tabs>
          <w:tab w:val="clear" w:pos="265"/>
          <w:tab w:val="left" w:pos="9" w:leader="none"/>
          <w:tab w:val="left" w:pos="567" w:leader="none"/>
        </w:tabs>
        <w:spacing w:before="0" w:after="0"/>
        <w:ind w:left="0" w:right="0" w:hanging="0"/>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color w:val="000000"/>
          <w:sz w:val="20"/>
          <w:szCs w:val="20"/>
        </w:rPr>
        <w:t>2. Порядок и условия поставки</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2.1. </w:t>
      </w:r>
      <w:r>
        <w:rPr>
          <w:color w:val="000000"/>
          <w:sz w:val="20"/>
          <w:szCs w:val="20"/>
        </w:rPr>
        <w:t>Качество и количество поставляемого Товара должно соответствовать условиям Договора, требованиям нормативной документации (далее НД), а также требованиям, указанным в согласованной Сторонами Спецификации к Договору (Приложение №1). Качество Товара удостоверяется Сертификатом соответствия ГОСТ Р, Декларацией о соответствии ГОСТ Р, Сертификатом соответствия требованиям технического регламента, Декларацией о соответствии техническому регламенту (если закупаемый Товар включен в соответствующие перечни обязательного подтверждения соответствия), или иными документами, предусмотренными действующим законодательством, подтверждающими качество Товара.</w:t>
      </w:r>
    </w:p>
    <w:p>
      <w:pPr>
        <w:pStyle w:val="Style19"/>
        <w:numPr>
          <w:ilvl w:val="0"/>
          <w:numId w:val="0"/>
        </w:numPr>
        <w:spacing w:before="0" w:after="0"/>
        <w:ind w:left="0" w:right="0" w:hanging="0"/>
        <w:jc w:val="both"/>
        <w:rPr>
          <w:rFonts w:ascii="Times New Roman" w:hAnsi="Times New Roman"/>
          <w:sz w:val="20"/>
          <w:szCs w:val="20"/>
        </w:rPr>
      </w:pPr>
      <w:r>
        <w:rPr>
          <w:b/>
          <w:color w:val="000000"/>
          <w:sz w:val="20"/>
          <w:szCs w:val="20"/>
        </w:rPr>
        <w:t xml:space="preserve">2.2. </w:t>
      </w:r>
      <w:r>
        <w:rPr>
          <w:color w:val="000000"/>
          <w:sz w:val="20"/>
          <w:szCs w:val="20"/>
        </w:rPr>
        <w:t>Срок поставки Товара в соответствии со Спецификацией к Договору (Приложение №1).</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2.3. </w:t>
      </w:r>
      <w:r>
        <w:rPr>
          <w:color w:val="000000"/>
          <w:sz w:val="20"/>
          <w:szCs w:val="20"/>
        </w:rPr>
        <w:t xml:space="preserve">Право собственности на Товар, а также риск повреждения и утраты Товара переходят от Поставщика к Покупателю с даты (момента) поставки Товара. </w:t>
      </w:r>
    </w:p>
    <w:p>
      <w:pPr>
        <w:pStyle w:val="Style19"/>
        <w:numPr>
          <w:ilvl w:val="0"/>
          <w:numId w:val="0"/>
        </w:numPr>
        <w:spacing w:before="0" w:after="0"/>
        <w:ind w:left="0" w:right="0" w:hanging="0"/>
        <w:jc w:val="both"/>
        <w:rPr/>
      </w:pPr>
      <w:r>
        <w:rPr>
          <w:b/>
          <w:color w:val="000000"/>
          <w:sz w:val="20"/>
          <w:szCs w:val="20"/>
        </w:rPr>
        <w:t xml:space="preserve">2.4. </w:t>
      </w:r>
      <w:r>
        <w:rPr>
          <w:sz w:val="20"/>
          <w:szCs w:val="20"/>
        </w:rPr>
        <w:t xml:space="preserve">Датой (моментом) поставки считается дата </w:t>
      </w:r>
      <w:r>
        <w:rPr>
          <w:bCs/>
          <w:color w:val="000000"/>
          <w:sz w:val="20"/>
          <w:szCs w:val="20"/>
        </w:rPr>
        <w:t>(момент) подписания Покупателем товарной накладной (ТОРГ-12) либо у</w:t>
      </w:r>
      <w:r>
        <w:rPr>
          <w:rFonts w:eastAsia="Arial"/>
          <w:color w:val="000000"/>
          <w:sz w:val="20"/>
          <w:szCs w:val="20"/>
        </w:rPr>
        <w:t>ниверсального передаточного</w:t>
      </w:r>
      <w:r>
        <w:rPr>
          <w:rFonts w:eastAsia="Arial"/>
          <w:sz w:val="20"/>
          <w:szCs w:val="20"/>
        </w:rPr>
        <w:t xml:space="preserve"> документа (УПД) (по форме, предусмотренной Письмом ФНС России от 21.10.2013 N ММВ-20-3/96@</w:t>
      </w:r>
      <w:r>
        <w:rPr>
          <w:bCs/>
          <w:sz w:val="20"/>
          <w:szCs w:val="20"/>
        </w:rPr>
        <w:t>)</w:t>
      </w:r>
      <w:r>
        <w:rPr>
          <w:color w:val="000000"/>
          <w:sz w:val="20"/>
          <w:szCs w:val="20"/>
        </w:rPr>
        <w:t>.</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2.5. </w:t>
      </w:r>
      <w:r>
        <w:rPr>
          <w:color w:val="000000"/>
          <w:sz w:val="20"/>
          <w:szCs w:val="20"/>
        </w:rPr>
        <w:t>Тара и упаковка должны соответствовать требованиям и условиям на поставку Товара и быть достаточными для обеспечения сохранности Товара во время транспортировки.</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2.6. </w:t>
      </w:r>
      <w:r>
        <w:rPr>
          <w:color w:val="000000"/>
          <w:sz w:val="20"/>
          <w:szCs w:val="20"/>
        </w:rPr>
        <w:t>Покупатель, не ограничивая своих обязательств и ответственности по Договору, вправе застраховать в свою пользу и за свой счет Товар, который будет поставлен на условиях Договора.</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color w:val="000000"/>
          <w:sz w:val="20"/>
          <w:szCs w:val="20"/>
        </w:rPr>
        <w:t>3</w:t>
      </w:r>
      <w:r>
        <w:rPr>
          <w:b/>
          <w:bCs/>
          <w:color w:val="000000"/>
          <w:sz w:val="20"/>
          <w:szCs w:val="20"/>
        </w:rPr>
        <w:t>. Права и Обязанности Сторон</w:t>
      </w:r>
    </w:p>
    <w:p>
      <w:pPr>
        <w:pStyle w:val="Style19"/>
        <w:numPr>
          <w:ilvl w:val="0"/>
          <w:numId w:val="0"/>
        </w:numPr>
        <w:spacing w:before="0" w:after="0"/>
        <w:ind w:left="0" w:right="0" w:hanging="14"/>
        <w:rPr>
          <w:rFonts w:ascii="Times New Roman" w:hAnsi="Times New Roman"/>
          <w:sz w:val="20"/>
          <w:szCs w:val="20"/>
        </w:rPr>
      </w:pPr>
      <w:r>
        <w:rPr>
          <w:b/>
          <w:color w:val="000000"/>
          <w:sz w:val="20"/>
          <w:szCs w:val="20"/>
        </w:rPr>
        <w:t>3.1. Поставщик обязан:</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3.1.1. </w:t>
      </w:r>
      <w:r>
        <w:rPr>
          <w:color w:val="000000"/>
          <w:sz w:val="20"/>
          <w:szCs w:val="20"/>
        </w:rPr>
        <w:t>Произвести поставку Товара в соответствии с настоящим Договором и Спецификацией (Приложение №1), являющейся неотъемлемой частью настоящего Договора.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3.1.2. </w:t>
      </w:r>
      <w:r>
        <w:rPr>
          <w:color w:val="000000"/>
          <w:sz w:val="20"/>
          <w:szCs w:val="20"/>
        </w:rPr>
        <w:t>Обеспечить надлежащую маркировку, поставляемого Товара. Товар должен поставляться в таре и упаковке, гарантирующей его сохранность при погрузке, перевозке, перевалке в пути следования, хранении и выгрузке средствами механизации и вручную. Погрузка и размещение Товара в транспортном средстве должны производиться с соблюдением правил, действующих на транспорте.</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3.1.3. </w:t>
      </w:r>
      <w:r>
        <w:rPr>
          <w:color w:val="000000"/>
          <w:sz w:val="20"/>
          <w:szCs w:val="20"/>
        </w:rPr>
        <w:t xml:space="preserve">Незамедлительно уведомить Покупателя по электронной почте об отправке Товара согласно отгрузочным реквизитам, сообщив ему следующие данные: отгрузочные реквизиты Грузоотправителя, наименование и количество Товара, номер вагона, контейнера, цистерны, полувагона, платформы, наименование документа, подтверждающего качество Товара, номер квитанции и дату отгрузки. </w:t>
      </w:r>
    </w:p>
    <w:p>
      <w:pPr>
        <w:pStyle w:val="Style19"/>
        <w:numPr>
          <w:ilvl w:val="0"/>
          <w:numId w:val="0"/>
        </w:numPr>
        <w:spacing w:before="0" w:after="0"/>
        <w:ind w:left="0" w:right="0" w:hanging="14"/>
        <w:jc w:val="both"/>
        <w:rPr/>
      </w:pPr>
      <w:r>
        <w:rPr>
          <w:b/>
          <w:color w:val="000000"/>
          <w:sz w:val="20"/>
          <w:szCs w:val="20"/>
        </w:rPr>
        <w:t xml:space="preserve">3.1.4. </w:t>
      </w:r>
      <w:r>
        <w:rPr>
          <w:sz w:val="20"/>
          <w:szCs w:val="20"/>
        </w:rPr>
        <w:t>В соответствии с п. 3. ст.168 НК РФ, в случае поступления от Покупателя оплаты (частичной оплаты) в счет предстоящих поставок, Поставщик обязуется в течение 5 (Пяти) календарных дней с даты оплаты направить в адрес Покупателя по электронной почте копию счета-фактуры, оригинал направляется по</w:t>
      </w:r>
      <w:r>
        <w:rPr>
          <w:rStyle w:val="Style17"/>
          <w:rFonts w:eastAsia="Times New Roman" w:cs="Times New Roman"/>
          <w:b w:val="false"/>
          <w:bCs w:val="false"/>
          <w:color w:val="auto"/>
          <w:kern w:val="2"/>
          <w:sz w:val="20"/>
          <w:szCs w:val="20"/>
          <w:u w:val="none"/>
          <w:lang w:val="ru-RU" w:eastAsia="zh-CN" w:bidi="ar-SA"/>
        </w:rPr>
        <w:t xml:space="preserve"> почте или иным удобным Поставщику способом по реквизитам Покупателя</w:t>
      </w:r>
      <w:r>
        <w:rPr>
          <w:rFonts w:eastAsia="Times New Roman" w:cs="Times New Roman"/>
          <w:b w:val="false"/>
          <w:bCs w:val="false"/>
          <w:color w:val="auto"/>
          <w:kern w:val="2"/>
          <w:sz w:val="20"/>
          <w:szCs w:val="20"/>
          <w:u w:val="none"/>
          <w:lang w:val="ru-RU" w:eastAsia="zh-CN" w:bidi="ar-SA"/>
        </w:rPr>
        <w:t xml:space="preserve">. </w:t>
      </w:r>
      <w:r>
        <w:rPr>
          <w:rStyle w:val="Style17"/>
          <w:rFonts w:eastAsia="Times New Roman" w:cs="Times New Roman"/>
          <w:b w:val="false"/>
          <w:bCs w:val="false"/>
          <w:color w:val="auto"/>
          <w:kern w:val="2"/>
          <w:sz w:val="20"/>
          <w:szCs w:val="20"/>
          <w:u w:val="none"/>
          <w:lang w:val="ru-RU" w:eastAsia="zh-CN" w:bidi="ar-SA"/>
        </w:rPr>
        <w:t>Счёт-фактура должен быть оформлен в соответствии с п. 5.1. Ст. 169 НК РФ.</w:t>
      </w:r>
    </w:p>
    <w:p>
      <w:pPr>
        <w:pStyle w:val="Style19"/>
        <w:numPr>
          <w:ilvl w:val="0"/>
          <w:numId w:val="0"/>
        </w:numPr>
        <w:spacing w:before="0" w:after="0"/>
        <w:ind w:left="0" w:right="0" w:hanging="0"/>
        <w:jc w:val="both"/>
        <w:rPr>
          <w:rFonts w:ascii="Times New Roman" w:hAnsi="Times New Roman"/>
          <w:sz w:val="20"/>
          <w:szCs w:val="20"/>
        </w:rPr>
      </w:pPr>
      <w:r>
        <w:rPr>
          <w:b/>
          <w:color w:val="000000"/>
          <w:sz w:val="20"/>
          <w:szCs w:val="20"/>
        </w:rPr>
        <w:t xml:space="preserve">3.1.5. </w:t>
      </w:r>
      <w:r>
        <w:rPr>
          <w:color w:val="000000"/>
          <w:sz w:val="20"/>
          <w:szCs w:val="20"/>
        </w:rPr>
        <w:t>При поставке Товара Поставщик передает Покупателю товарную накладную либо УПД и, если закупаемый Товар включен в соответствующие перечни обязательного подтверждения соответствия, Сертификат соответствия ГОСТ Р Декларацию о соответствии ГОСТ Р, Сертификат соответствия требованиям технического регламента, Декларацию о соответствии техническому регламенту, паспорт безопасности, или иные документы, предусмотренные действующим законодательством, подтверждающие качество Товара.</w:t>
      </w:r>
    </w:p>
    <w:p>
      <w:pPr>
        <w:pStyle w:val="Style19"/>
        <w:numPr>
          <w:ilvl w:val="0"/>
          <w:numId w:val="0"/>
        </w:numPr>
        <w:spacing w:before="0" w:after="0"/>
        <w:ind w:left="0" w:right="0" w:hanging="0"/>
        <w:jc w:val="both"/>
        <w:rPr/>
      </w:pPr>
      <w:r>
        <w:rPr>
          <w:color w:val="000000"/>
          <w:sz w:val="20"/>
          <w:szCs w:val="20"/>
        </w:rPr>
        <w:t xml:space="preserve">Оригинал счета-фактуры либо </w:t>
      </w:r>
      <w:r>
        <w:rPr>
          <w:rFonts w:eastAsia="Arial"/>
          <w:sz w:val="20"/>
          <w:szCs w:val="20"/>
        </w:rPr>
        <w:t>УПД</w:t>
      </w:r>
      <w:r>
        <w:rPr>
          <w:sz w:val="20"/>
          <w:szCs w:val="20"/>
        </w:rPr>
        <w:t xml:space="preserve"> должен</w:t>
      </w:r>
      <w:r>
        <w:rPr>
          <w:color w:val="000000"/>
          <w:sz w:val="20"/>
          <w:szCs w:val="20"/>
        </w:rPr>
        <w:t xml:space="preserve"> быть отправлен в адрес Покупателя по почте </w:t>
      </w:r>
      <w:r>
        <w:rPr>
          <w:rStyle w:val="Style17"/>
          <w:rFonts w:eastAsia="Times New Roman" w:cs="Times New Roman"/>
          <w:b w:val="false"/>
          <w:bCs w:val="false"/>
          <w:color w:val="auto"/>
          <w:kern w:val="2"/>
          <w:sz w:val="20"/>
          <w:szCs w:val="20"/>
          <w:u w:val="none"/>
          <w:lang w:val="ru-RU" w:eastAsia="zh-CN" w:bidi="ar-SA"/>
        </w:rPr>
        <w:t xml:space="preserve">или иным удобным Поставщику способом по реквизитам Покупателя </w:t>
      </w:r>
      <w:r>
        <w:rPr>
          <w:color w:val="000000"/>
          <w:sz w:val="20"/>
          <w:szCs w:val="20"/>
        </w:rPr>
        <w:t xml:space="preserve">не позднее 5 календарных дней после поставки Товара в адрес Покупателя. В товарной накладной, счете- фактуре или УПД обязательно указываются следующие реквизиты: </w:t>
      </w:r>
      <w:r>
        <w:rPr>
          <w:rFonts w:cs="Times New Roman"/>
          <w:color w:val="000000"/>
          <w:sz w:val="20"/>
          <w:szCs w:val="20"/>
        </w:rPr>
        <w:t>Грузоотправитель Поставщик, Покупатель, Грузополучатель,</w:t>
      </w:r>
      <w:r>
        <w:rPr>
          <w:color w:val="000000"/>
          <w:sz w:val="20"/>
          <w:szCs w:val="20"/>
        </w:rPr>
        <w:t xml:space="preserve"> а также номер, дата Договора и Спецификации.</w:t>
      </w:r>
    </w:p>
    <w:p>
      <w:pPr>
        <w:pStyle w:val="Style19"/>
        <w:numPr>
          <w:ilvl w:val="0"/>
          <w:numId w:val="0"/>
        </w:numPr>
        <w:spacing w:before="0" w:after="0"/>
        <w:ind w:left="0" w:right="0" w:hanging="0"/>
        <w:jc w:val="both"/>
        <w:rPr>
          <w:rFonts w:ascii="Times New Roman" w:hAnsi="Times New Roman"/>
          <w:sz w:val="20"/>
          <w:szCs w:val="20"/>
        </w:rPr>
      </w:pPr>
      <w:r>
        <w:rPr>
          <w:b w:val="false"/>
          <w:bCs w:val="false"/>
          <w:color w:val="000000"/>
          <w:sz w:val="20"/>
          <w:szCs w:val="20"/>
        </w:rPr>
        <w:t>В случае отсутствия у Покупателя технических условий (ТУ) на Товар по запросу Покупателя Поставщик передает Покупателю выкопировку из соответствующих технических условий (ТУ) на Товар.</w:t>
      </w:r>
    </w:p>
    <w:p>
      <w:pPr>
        <w:pStyle w:val="Style19"/>
        <w:numPr>
          <w:ilvl w:val="0"/>
          <w:numId w:val="0"/>
        </w:numPr>
        <w:spacing w:before="0" w:after="0"/>
        <w:ind w:left="0" w:right="0" w:hanging="14"/>
        <w:jc w:val="both"/>
        <w:rPr>
          <w:rFonts w:ascii="Times New Roman" w:hAnsi="Times New Roman"/>
          <w:sz w:val="20"/>
          <w:szCs w:val="20"/>
        </w:rPr>
      </w:pPr>
      <w:r>
        <w:rPr>
          <w:b/>
          <w:bCs/>
          <w:color w:val="000000"/>
          <w:sz w:val="20"/>
          <w:szCs w:val="20"/>
        </w:rPr>
        <w:t>3.1.6.</w:t>
      </w:r>
      <w:r>
        <w:rPr>
          <w:color w:val="000000"/>
          <w:sz w:val="20"/>
          <w:szCs w:val="20"/>
        </w:rPr>
        <w:t xml:space="preserve"> Поставка Товара без документов, предусмотренных пунктом 3.1.5 настоящего Договора, считается некомплектной и не подлежит оплате до момента предоставления указанных документов. Если Товар уже оплачен, Покупатель имеет право потребовать возврата денежных средств, уплаченных за поставку некомплектного Товара.</w:t>
      </w:r>
    </w:p>
    <w:p>
      <w:pPr>
        <w:pStyle w:val="Style19"/>
        <w:numPr>
          <w:ilvl w:val="0"/>
          <w:numId w:val="0"/>
        </w:numPr>
        <w:spacing w:before="0" w:after="0"/>
        <w:ind w:left="0" w:right="0" w:hanging="14"/>
        <w:jc w:val="both"/>
        <w:rPr>
          <w:rFonts w:ascii="Times New Roman" w:hAnsi="Times New Roman"/>
          <w:sz w:val="20"/>
          <w:szCs w:val="20"/>
        </w:rPr>
      </w:pPr>
      <w:r>
        <w:rPr>
          <w:color w:val="000000"/>
          <w:sz w:val="20"/>
          <w:szCs w:val="20"/>
        </w:rPr>
        <w:t>Требование Покупателя должно быть исполнено в течение 7 (семи) дней с момента его получения Поставщиком.</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3.2. Покупатель обязан:</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3.2.1. </w:t>
      </w:r>
      <w:r>
        <w:rPr>
          <w:color w:val="000000"/>
          <w:sz w:val="20"/>
          <w:szCs w:val="20"/>
        </w:rPr>
        <w:t xml:space="preserve">Оплатить Товар в размере, в порядке и в сроки, предусмотренные Спецификацией к Договору (Приложение №1). </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3.2.2. </w:t>
      </w:r>
      <w:r>
        <w:rPr>
          <w:color w:val="000000"/>
          <w:sz w:val="20"/>
          <w:szCs w:val="20"/>
        </w:rPr>
        <w:t xml:space="preserve">Предпринять все надлежащие меры, обеспечивающие принятие и разгрузку Товара, поставленного Поставщиком в соответствии с условиями настоящего Договора. </w:t>
      </w:r>
    </w:p>
    <w:p>
      <w:pPr>
        <w:pStyle w:val="Style19"/>
        <w:numPr>
          <w:ilvl w:val="0"/>
          <w:numId w:val="0"/>
        </w:numPr>
        <w:spacing w:before="0" w:after="0"/>
        <w:ind w:left="0" w:right="0" w:hanging="14"/>
        <w:jc w:val="both"/>
        <w:rPr>
          <w:rFonts w:ascii="Times New Roman" w:hAnsi="Times New Roman"/>
          <w:sz w:val="20"/>
          <w:szCs w:val="20"/>
        </w:rPr>
      </w:pPr>
      <w:r>
        <w:rPr>
          <w:b/>
          <w:bCs/>
          <w:color w:val="000000"/>
          <w:sz w:val="20"/>
          <w:szCs w:val="20"/>
        </w:rPr>
        <w:t xml:space="preserve">3.2.3. </w:t>
      </w:r>
      <w:r>
        <w:rPr>
          <w:color w:val="000000"/>
          <w:sz w:val="20"/>
          <w:szCs w:val="20"/>
        </w:rPr>
        <w:t>Покупатель имеет право на проведение аудита системы менеджмента качества, системы экологического менеджмента и процесса изготовления Товара организации-изготовителя по согласованной Сторонами программе.</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4. Порядок приемки Товара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4.1. </w:t>
      </w:r>
      <w:r>
        <w:rPr>
          <w:color w:val="000000"/>
          <w:sz w:val="20"/>
          <w:szCs w:val="20"/>
        </w:rPr>
        <w:t>Приемка Товара по количеству и качеству осуществляется в порядке и сроки, установленные Инструкциями Госарбитража при СМ СССР. «О приемке продукции по качеству» №П-7 от 25.04.66 г.; «О приемке продукции по количеству» № П-6 от 15.06.65 г, с изменениями и дополнениями (в случае возникновения отклонений по качеству и/или количеству претензии предъявляются Поставщику). О выявленных несоответствиях или недопоставках Товара Стороны извещают друг друга, в том числе по электронной почте, с направлением оригинала по</w:t>
      </w:r>
      <w:r>
        <w:rPr>
          <w:rStyle w:val="Style17"/>
          <w:rFonts w:eastAsia="Times New Roman" w:cs="Times New Roman"/>
          <w:b w:val="false"/>
          <w:bCs w:val="false"/>
          <w:color w:val="auto"/>
          <w:kern w:val="2"/>
          <w:sz w:val="20"/>
          <w:szCs w:val="20"/>
          <w:u w:val="none"/>
          <w:lang w:val="ru-RU" w:eastAsia="zh-CN" w:bidi="ar-SA"/>
        </w:rPr>
        <w:t xml:space="preserve"> почте или иным удобным Поставщику способом по реквизитам Покупателя</w:t>
      </w:r>
      <w:r>
        <w:rPr>
          <w:color w:val="000000"/>
          <w:sz w:val="20"/>
          <w:szCs w:val="20"/>
        </w:rPr>
        <w:t xml:space="preserve">. При установленной недостаче Товара акт на недостачу составляется с соблюдением правил, установленных Инструкцией № П-6 от 15.06.65 г. </w:t>
      </w:r>
    </w:p>
    <w:p>
      <w:pPr>
        <w:pStyle w:val="Style19"/>
        <w:numPr>
          <w:ilvl w:val="0"/>
          <w:numId w:val="0"/>
        </w:numPr>
        <w:spacing w:before="0" w:after="0"/>
        <w:ind w:left="0" w:right="0" w:hanging="0"/>
        <w:jc w:val="both"/>
        <w:rPr/>
      </w:pPr>
      <w:r>
        <w:rPr>
          <w:b/>
          <w:bCs/>
          <w:sz w:val="20"/>
          <w:szCs w:val="20"/>
        </w:rPr>
        <w:t xml:space="preserve">4.2.  </w:t>
      </w:r>
      <w:r>
        <w:rPr>
          <w:color w:val="000000"/>
          <w:sz w:val="20"/>
          <w:szCs w:val="20"/>
        </w:rPr>
        <w:t>Покупатель осуществляет проверку по количеству и ассортименту Товара на складе Поставщика.</w:t>
      </w:r>
    </w:p>
    <w:p>
      <w:pPr>
        <w:pStyle w:val="Style19"/>
        <w:numPr>
          <w:ilvl w:val="0"/>
          <w:numId w:val="0"/>
        </w:numPr>
        <w:spacing w:before="0" w:after="0"/>
        <w:ind w:left="0" w:right="0" w:hanging="0"/>
        <w:jc w:val="both"/>
        <w:rPr/>
      </w:pPr>
      <w:r>
        <w:rPr>
          <w:color w:val="000000"/>
          <w:sz w:val="20"/>
          <w:szCs w:val="20"/>
        </w:rPr>
        <w:t>Срок приемки Товара на складе Покупателя по качеству — 20 (двадцать) дней с даты поставки на склад Покупателя. Покупатель не позднее, чем в двухнедельный срок после составления акта приемки обязан возвратить забракованный Товар Поставщику, обеспечив его сохранность при транспортировке. Расходы по замене забракованного Товара ( в том числе расходы на его транспортировку) возлагаются на Поставщика.</w:t>
      </w:r>
    </w:p>
    <w:p>
      <w:pPr>
        <w:pStyle w:val="Style19"/>
        <w:numPr>
          <w:ilvl w:val="0"/>
          <w:numId w:val="0"/>
        </w:numPr>
        <w:spacing w:before="0" w:after="0"/>
        <w:ind w:left="0" w:right="0" w:hanging="14"/>
        <w:jc w:val="both"/>
        <w:rPr>
          <w:rFonts w:ascii="Times New Roman" w:hAnsi="Times New Roman"/>
          <w:sz w:val="20"/>
          <w:szCs w:val="20"/>
        </w:rPr>
      </w:pPr>
      <w:r>
        <w:rPr>
          <w:b/>
          <w:bCs/>
          <w:sz w:val="20"/>
          <w:szCs w:val="20"/>
        </w:rPr>
        <w:t xml:space="preserve">4.3. </w:t>
      </w:r>
      <w:r>
        <w:rPr>
          <w:sz w:val="20"/>
          <w:szCs w:val="20"/>
        </w:rPr>
        <w:t>При забраковании Покупателем гарантийного Товара, возврат брака Поставщику производится без выставления счетов-фактур с оформлением накладной по форме М-15.</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5. Цена Товара и порядок расчетов</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5.1. </w:t>
      </w:r>
      <w:r>
        <w:rPr>
          <w:color w:val="000000"/>
          <w:sz w:val="20"/>
          <w:szCs w:val="20"/>
        </w:rPr>
        <w:t>Сумма Договора составляет _____ (_____________) рублей 00 копеек</w:t>
      </w:r>
      <w:r>
        <w:rPr>
          <w:sz w:val="20"/>
          <w:szCs w:val="20"/>
        </w:rPr>
        <w:t xml:space="preserve">, в том числе НДС __%. Цена </w:t>
      </w:r>
      <w:r>
        <w:rPr>
          <w:color w:val="000000"/>
          <w:sz w:val="20"/>
          <w:szCs w:val="20"/>
        </w:rPr>
        <w:t>Товара</w:t>
      </w:r>
      <w:r>
        <w:rPr>
          <w:sz w:val="20"/>
          <w:szCs w:val="20"/>
        </w:rPr>
        <w:t xml:space="preserve"> является твердофиксированной и не подлежит изменению в течение всего срока действия Договора</w:t>
      </w:r>
      <w:r>
        <w:rPr>
          <w:color w:val="000000"/>
          <w:sz w:val="20"/>
          <w:szCs w:val="20"/>
        </w:rPr>
        <w:t>.</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5.2. </w:t>
      </w:r>
      <w:r>
        <w:rPr>
          <w:color w:val="000000"/>
          <w:sz w:val="20"/>
          <w:szCs w:val="20"/>
        </w:rPr>
        <w:t xml:space="preserve">Размер и порядок оплаты транспортных и иных расходов согласовываются Сторонами в Спецификации к Договору (Приложение №1). </w:t>
      </w:r>
    </w:p>
    <w:p>
      <w:pPr>
        <w:pStyle w:val="Style19"/>
        <w:numPr>
          <w:ilvl w:val="0"/>
          <w:numId w:val="0"/>
        </w:numPr>
        <w:spacing w:before="0" w:after="0"/>
        <w:ind w:left="0" w:right="0" w:hanging="14"/>
        <w:jc w:val="both"/>
        <w:rPr/>
      </w:pPr>
      <w:r>
        <w:rPr>
          <w:b/>
          <w:color w:val="000000"/>
          <w:sz w:val="20"/>
          <w:szCs w:val="20"/>
        </w:rPr>
        <w:t xml:space="preserve">5.3. </w:t>
      </w:r>
      <w:r>
        <w:rPr>
          <w:sz w:val="20"/>
          <w:szCs w:val="20"/>
        </w:rPr>
        <w:t xml:space="preserve">Покупатель производит оплату за поставляемый </w:t>
      </w:r>
      <w:r>
        <w:rPr>
          <w:color w:val="000000"/>
          <w:sz w:val="20"/>
          <w:szCs w:val="20"/>
        </w:rPr>
        <w:t>Товар</w:t>
      </w:r>
      <w:r>
        <w:rPr>
          <w:sz w:val="20"/>
          <w:szCs w:val="20"/>
        </w:rPr>
        <w:t xml:space="preserve"> в сроки и способом, указанными в Спецификации</w:t>
      </w:r>
      <w:r>
        <w:rPr>
          <w:color w:val="000000"/>
          <w:sz w:val="20"/>
          <w:szCs w:val="20"/>
        </w:rPr>
        <w:t xml:space="preserve"> к Договору (Приложение №1)</w:t>
      </w:r>
      <w:r>
        <w:rPr>
          <w:sz w:val="20"/>
          <w:szCs w:val="20"/>
        </w:rPr>
        <w:t xml:space="preserve">. </w:t>
      </w:r>
      <w:r>
        <w:rPr>
          <w:rFonts w:cs="Times New Roman"/>
          <w:color w:val="000000"/>
          <w:sz w:val="20"/>
          <w:szCs w:val="20"/>
          <w:lang w:val="ru-RU"/>
        </w:rPr>
        <w:t>Отсутствие авансирования со стороны Покупателя не является основанием для не выполнения Поставщиком обязанностей по Договору.</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5.4. </w:t>
      </w:r>
      <w:r>
        <w:rPr>
          <w:color w:val="000000"/>
          <w:sz w:val="20"/>
          <w:szCs w:val="20"/>
        </w:rPr>
        <w:t>Валютой исполнения обязательств в соответствии со ст. 140, 317 ГК РФ принимается российский рубль.</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5.5. </w:t>
      </w:r>
      <w:r>
        <w:rPr>
          <w:color w:val="000000"/>
          <w:sz w:val="20"/>
          <w:szCs w:val="20"/>
        </w:rPr>
        <w:t xml:space="preserve">При перечислении денежных средств моментом оплаты считается дата списания денежных средств с расчетного счета Покупателя. </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6. Ответственность Сторон</w:t>
      </w:r>
    </w:p>
    <w:p>
      <w:pPr>
        <w:pStyle w:val="Normal"/>
        <w:shd w:val="clear" w:color="auto" w:fill="auto"/>
        <w:tabs>
          <w:tab w:val="clear" w:pos="265"/>
          <w:tab w:val="left" w:pos="1080" w:leader="none"/>
        </w:tabs>
        <w:spacing w:lineRule="auto" w:line="240" w:before="0" w:after="0"/>
        <w:jc w:val="both"/>
        <w:rPr>
          <w:rFonts w:ascii="Times New Roman" w:hAnsi="Times New Roman"/>
          <w:sz w:val="20"/>
          <w:szCs w:val="20"/>
        </w:rPr>
      </w:pPr>
      <w:r>
        <w:rPr>
          <w:rFonts w:cs="Times New Roman"/>
          <w:b/>
          <w:bCs/>
          <w:sz w:val="20"/>
          <w:szCs w:val="20"/>
        </w:rPr>
        <w:t xml:space="preserve">6.1. </w:t>
      </w:r>
      <w:r>
        <w:rPr>
          <w:rFonts w:cs="Times New Roman"/>
          <w:sz w:val="20"/>
          <w:szCs w:val="20"/>
        </w:rPr>
        <w:t>В случаях неисполнения или ненадлежащего исполнения Сторонами обязательств, принятых на себя по настоящему Договору Стороны несут ответственность в соответствии с настоящим Договором и действующим законодательством РФ.</w:t>
      </w:r>
    </w:p>
    <w:p>
      <w:pPr>
        <w:pStyle w:val="Style19"/>
        <w:numPr>
          <w:ilvl w:val="0"/>
          <w:numId w:val="0"/>
        </w:numPr>
        <w:shd w:val="clear" w:color="auto" w:fill="auto"/>
        <w:tabs>
          <w:tab w:val="clear" w:pos="265"/>
          <w:tab w:val="left" w:pos="1080" w:leader="none"/>
        </w:tabs>
        <w:spacing w:lineRule="auto" w:line="240" w:before="0" w:after="0"/>
        <w:ind w:left="0" w:right="0" w:hanging="0"/>
        <w:jc w:val="both"/>
        <w:rPr>
          <w:rFonts w:ascii="Times New Roman" w:hAnsi="Times New Roman"/>
          <w:sz w:val="20"/>
          <w:szCs w:val="20"/>
        </w:rPr>
      </w:pPr>
      <w:r>
        <w:rPr>
          <w:rFonts w:cs="Times New Roman"/>
          <w:b/>
          <w:bCs/>
          <w:sz w:val="20"/>
          <w:szCs w:val="20"/>
        </w:rPr>
        <w:t>6.2.</w:t>
      </w:r>
      <w:r>
        <w:rPr>
          <w:rFonts w:cs="Times New Roman"/>
          <w:sz w:val="20"/>
          <w:szCs w:val="20"/>
        </w:rPr>
        <w:t xml:space="preserve">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w:t>
      </w:r>
    </w:p>
    <w:p>
      <w:pPr>
        <w:pStyle w:val="Style19"/>
        <w:numPr>
          <w:ilvl w:val="0"/>
          <w:numId w:val="0"/>
        </w:numPr>
        <w:shd w:val="clear" w:color="auto" w:fill="auto"/>
        <w:tabs>
          <w:tab w:val="clear" w:pos="265"/>
          <w:tab w:val="left" w:pos="1080" w:leader="none"/>
        </w:tabs>
        <w:spacing w:lineRule="auto" w:line="240" w:before="0" w:after="0"/>
        <w:ind w:left="0" w:right="0" w:hanging="0"/>
        <w:jc w:val="both"/>
        <w:rPr/>
      </w:pPr>
      <w:r>
        <w:rPr>
          <w:rFonts w:cs="Times New Roman"/>
          <w:b/>
          <w:bCs/>
          <w:sz w:val="20"/>
          <w:szCs w:val="20"/>
        </w:rPr>
        <w:t>6.3.</w:t>
      </w:r>
      <w:r>
        <w:rPr>
          <w:rFonts w:cs="Times New Roman"/>
          <w:sz w:val="20"/>
          <w:szCs w:val="20"/>
        </w:rPr>
        <w:t xml:space="preserve"> </w:t>
      </w:r>
      <w:r>
        <w:rPr>
          <w:rFonts w:cs="Times New Roman"/>
          <w:color w:val="000000"/>
          <w:sz w:val="20"/>
          <w:szCs w:val="20"/>
        </w:rPr>
        <w:t>За неисполнение или ненадлежащее исполнение условий настоящего Договора Стороны его несут следующую взаимную материальную ответственность (штраф, пеня, неустойка), причем санкции применяются без взаимных зачетов и уплачиваются только после предъявления письменных требований об уплате.</w:t>
      </w:r>
    </w:p>
    <w:p>
      <w:pPr>
        <w:pStyle w:val="Style19"/>
        <w:numPr>
          <w:ilvl w:val="0"/>
          <w:numId w:val="0"/>
        </w:numPr>
        <w:spacing w:before="0" w:after="0"/>
        <w:ind w:left="0" w:right="0" w:hanging="0"/>
        <w:jc w:val="both"/>
        <w:rPr/>
      </w:pPr>
      <w:r>
        <w:rPr>
          <w:b/>
          <w:color w:val="000000"/>
          <w:sz w:val="20"/>
          <w:szCs w:val="20"/>
        </w:rPr>
        <w:t xml:space="preserve">6.3.1. </w:t>
      </w:r>
      <w:r>
        <w:rPr>
          <w:color w:val="000000"/>
          <w:sz w:val="20"/>
          <w:szCs w:val="20"/>
        </w:rPr>
        <w:t xml:space="preserve">В случае несвоевременной поставки Товара Поставщик уплачивает </w:t>
      </w:r>
      <w:r>
        <w:rPr>
          <w:sz w:val="20"/>
          <w:szCs w:val="20"/>
        </w:rPr>
        <w:t>пени в размере 0,1% от стоимости не поставленного Товара за каждый календарный день просрочки.</w:t>
      </w:r>
    </w:p>
    <w:p>
      <w:pPr>
        <w:pStyle w:val="Style19"/>
        <w:numPr>
          <w:ilvl w:val="0"/>
          <w:numId w:val="0"/>
        </w:numPr>
        <w:shd w:val="clear" w:color="auto" w:fill="auto"/>
        <w:tabs>
          <w:tab w:val="clear" w:pos="265"/>
          <w:tab w:val="left" w:pos="1080" w:leader="none"/>
        </w:tabs>
        <w:spacing w:lineRule="auto" w:line="240" w:before="0" w:after="0"/>
        <w:ind w:left="0" w:right="0" w:hanging="0"/>
        <w:jc w:val="both"/>
        <w:rPr/>
      </w:pPr>
      <w:r>
        <w:rPr>
          <w:rFonts w:cs="Times New Roman"/>
          <w:b/>
          <w:bCs w:val="false"/>
          <w:color w:val="000000"/>
          <w:sz w:val="20"/>
          <w:szCs w:val="20"/>
          <w:lang w:val="ru-RU"/>
        </w:rPr>
        <w:t xml:space="preserve">6.3.2. </w:t>
      </w:r>
      <w:r>
        <w:rPr>
          <w:rFonts w:cs="Times New Roman"/>
          <w:b w:val="false"/>
          <w:bCs w:val="false"/>
          <w:color w:val="000000"/>
          <w:sz w:val="20"/>
          <w:szCs w:val="20"/>
          <w:lang w:val="ru-RU"/>
        </w:rPr>
        <w:t>В случае несвоевременной оплаты Товара Покупатель уплачивает неустойку в размере 0,03% действующей на день уплаты неустойки ключевой ставки Центрального банка Российской Федерации от размера просроченного платежа за каждый день просрочки, но не более 5% от суммы Договора</w:t>
      </w:r>
      <w:r>
        <w:rPr>
          <w:rFonts w:cs="Times New Roman"/>
          <w:sz w:val="20"/>
          <w:szCs w:val="20"/>
        </w:rPr>
        <w:t>.</w:t>
      </w:r>
    </w:p>
    <w:p>
      <w:pPr>
        <w:pStyle w:val="Style19"/>
        <w:numPr>
          <w:ilvl w:val="0"/>
          <w:numId w:val="0"/>
        </w:numPr>
        <w:shd w:val="clear" w:color="auto" w:fill="auto"/>
        <w:tabs>
          <w:tab w:val="clear" w:pos="265"/>
          <w:tab w:val="left" w:pos="1080" w:leader="none"/>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6.4.</w:t>
      </w:r>
      <w:r>
        <w:rPr>
          <w:rFonts w:cs="Times New Roman"/>
          <w:sz w:val="20"/>
          <w:szCs w:val="20"/>
        </w:rPr>
        <w:t xml:space="preserve"> В случае если Поставщик поставил Товар, который не соответствует условиям Договора, требованиям НД и качество Товара не подтверждается соответствующим документом о качестве, Покупатель вправе потребовать, а Поставщик обязан заменить некачественный Товар на Товар надлежащего качества, соответствующий Договору в течение 14 (четырнадцати) дней с момента получения претензии, либо вернуть денежные средства, уплаченные за  некачественный Товар, в семидневный срок с даты письменного требования  Покупателя.</w:t>
      </w:r>
    </w:p>
    <w:p>
      <w:pPr>
        <w:pStyle w:val="Style19"/>
        <w:numPr>
          <w:ilvl w:val="0"/>
          <w:numId w:val="0"/>
        </w:numPr>
        <w:shd w:val="clear" w:color="auto" w:fill="auto"/>
        <w:tabs>
          <w:tab w:val="clear" w:pos="265"/>
          <w:tab w:val="left" w:pos="1080" w:leader="none"/>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6.5.</w:t>
      </w:r>
      <w:r>
        <w:rPr>
          <w:rFonts w:cs="Times New Roman"/>
          <w:sz w:val="20"/>
          <w:szCs w:val="20"/>
        </w:rPr>
        <w:t xml:space="preserve">  При наличии оснований для возврата Товара Поставщику в порядке, предусмотренном настоящим Договором, в случае, если Поставщик не забрал Товар в течение 14 (четырнадцати) календарных дней с момента направления Покупателем уведомления Поставщику о возврате Товара в установленном Договором порядке (в том числе посредством электронной почты), Поставщик обязан оплатить Покупателю хранение Товара из расчета 0,1% от суммы подлежащего возврату Товара за каждый день хранения.</w:t>
      </w:r>
    </w:p>
    <w:p>
      <w:pPr>
        <w:pStyle w:val="Style19"/>
        <w:numPr>
          <w:ilvl w:val="0"/>
          <w:numId w:val="0"/>
        </w:numPr>
        <w:tabs>
          <w:tab w:val="clear" w:pos="265"/>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6.6.</w:t>
      </w:r>
      <w:r>
        <w:rPr>
          <w:rFonts w:cs="Times New Roman"/>
          <w:sz w:val="20"/>
          <w:szCs w:val="20"/>
        </w:rPr>
        <w:t xml:space="preserve"> В случае доставки Товара Поставщиком или его представителем, Поставщик (его представитель) самостоятельно несет ответственность за безопасную доставку Товара до представителя Покупателя (грузополучателя), при этом транспортное средство должно удовлетворять требованиям перевозимого Товара, одновременно Поставщик или его представитель должен обладать необходимыми документами, позволяющими осуществлять перевозку соответствующего Товара. </w:t>
      </w:r>
    </w:p>
    <w:p>
      <w:pPr>
        <w:pStyle w:val="Style19"/>
        <w:numPr>
          <w:ilvl w:val="0"/>
          <w:numId w:val="0"/>
        </w:numPr>
        <w:tabs>
          <w:tab w:val="clear" w:pos="265"/>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6.7.</w:t>
      </w:r>
      <w:r>
        <w:rPr>
          <w:rFonts w:cs="Times New Roman"/>
          <w:sz w:val="20"/>
          <w:szCs w:val="20"/>
        </w:rPr>
        <w:t xml:space="preserve"> В случае возврата некачественного Товара Покупатель вправе уменьшить сумму платежей за поставленный Товар на сумму стоимости возвращенного Поставщику Товара.</w:t>
      </w:r>
    </w:p>
    <w:p>
      <w:pPr>
        <w:pStyle w:val="Style19"/>
        <w:numPr>
          <w:ilvl w:val="0"/>
          <w:numId w:val="0"/>
        </w:numPr>
        <w:tabs>
          <w:tab w:val="clear" w:pos="265"/>
          <w:tab w:val="left" w:pos="1080" w:leader="none"/>
        </w:tabs>
        <w:spacing w:lineRule="auto" w:line="240" w:before="0" w:after="0"/>
        <w:ind w:left="0" w:right="0" w:hanging="0"/>
        <w:jc w:val="both"/>
        <w:rPr>
          <w:rFonts w:ascii="Times New Roman" w:hAnsi="Times New Roman"/>
          <w:sz w:val="20"/>
          <w:szCs w:val="20"/>
        </w:rPr>
      </w:pPr>
      <w:r>
        <w:rPr>
          <w:rFonts w:cs="Times New Roman"/>
          <w:b/>
          <w:bCs/>
          <w:sz w:val="20"/>
          <w:szCs w:val="20"/>
        </w:rPr>
        <w:t>6.8.</w:t>
      </w:r>
      <w:r>
        <w:rPr>
          <w:rFonts w:cs="Times New Roman"/>
          <w:sz w:val="20"/>
          <w:szCs w:val="20"/>
        </w:rPr>
        <w:t xml:space="preserve"> В случае нарушения сроков замены и (или) допоставки Товара, не соответствующего требованиям Спецификации по количеству и/или качеству, Поставщик уплачивает штраф в размере 1% (один процент) от стоимости Товара, не соответствующего требованиям Договора и Спецификации, за каждый факт такого нарушения.</w:t>
      </w:r>
    </w:p>
    <w:p>
      <w:pPr>
        <w:pStyle w:val="Style19"/>
        <w:numPr>
          <w:ilvl w:val="0"/>
          <w:numId w:val="0"/>
        </w:numPr>
        <w:tabs>
          <w:tab w:val="clear" w:pos="265"/>
          <w:tab w:val="left" w:pos="1080" w:leader="none"/>
        </w:tabs>
        <w:spacing w:lineRule="auto" w:line="240" w:before="0" w:after="0"/>
        <w:ind w:left="0" w:right="0" w:hanging="0"/>
        <w:jc w:val="both"/>
        <w:rPr>
          <w:rFonts w:ascii="Times New Roman" w:hAnsi="Times New Roman"/>
          <w:sz w:val="20"/>
          <w:szCs w:val="20"/>
        </w:rPr>
      </w:pPr>
      <w:r>
        <w:rPr>
          <w:rFonts w:cs="Times New Roman"/>
          <w:b/>
          <w:bCs/>
          <w:sz w:val="20"/>
          <w:szCs w:val="20"/>
        </w:rPr>
        <w:t>6.9.</w:t>
      </w:r>
      <w:r>
        <w:rPr>
          <w:rFonts w:cs="Times New Roman"/>
          <w:sz w:val="20"/>
          <w:szCs w:val="20"/>
        </w:rPr>
        <w:t xml:space="preserve"> Взыскание с виновной Стороны штрафов, неустоек, предусмотренных пунктами 6.3., 6,5., 6.8. настоящего Договора, допускается при проведении окончательных расчетов путем удержания сумм, причитающихся Поставщику, при наличии предъявления письменной претензии (в том числе и по электронной почте) и отсутствия письменных возражений на претензию со Стороны Поставщика.</w:t>
      </w:r>
    </w:p>
    <w:p>
      <w:pPr>
        <w:pStyle w:val="Style19"/>
        <w:numPr>
          <w:ilvl w:val="0"/>
          <w:numId w:val="0"/>
        </w:numPr>
        <w:tabs>
          <w:tab w:val="clear" w:pos="265"/>
          <w:tab w:val="left" w:pos="1080" w:leader="none"/>
        </w:tabs>
        <w:spacing w:lineRule="auto" w:line="240" w:before="0" w:after="0"/>
        <w:ind w:left="0" w:right="0" w:hanging="0"/>
        <w:jc w:val="both"/>
        <w:rPr>
          <w:rFonts w:ascii="Times New Roman" w:hAnsi="Times New Roman"/>
          <w:sz w:val="20"/>
          <w:szCs w:val="20"/>
        </w:rPr>
      </w:pPr>
      <w:r>
        <w:rPr>
          <w:rFonts w:cs="Times New Roman"/>
          <w:b/>
          <w:bCs/>
          <w:sz w:val="20"/>
          <w:szCs w:val="20"/>
        </w:rPr>
        <w:t>6.10.</w:t>
      </w:r>
      <w:r>
        <w:rPr>
          <w:rFonts w:cs="Times New Roman"/>
          <w:sz w:val="20"/>
          <w:szCs w:val="20"/>
        </w:rPr>
        <w:t xml:space="preserve"> Если при приемке Товара будет обнаружено повреждение (недостача) Товара, нарушение целостности тары (упаковки) при отсутствии ответственности перевозчика согласно правовым актам, действующим на транспорте, то Поставщик будет нести самостоятельную ответственность за недопоставку (повреждение) Товара.</w:t>
      </w:r>
    </w:p>
    <w:p>
      <w:pPr>
        <w:pStyle w:val="Style19"/>
        <w:numPr>
          <w:ilvl w:val="0"/>
          <w:numId w:val="0"/>
        </w:numPr>
        <w:tabs>
          <w:tab w:val="clear" w:pos="265"/>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6.11.</w:t>
      </w:r>
      <w:r>
        <w:rPr>
          <w:rFonts w:cs="Times New Roman"/>
          <w:sz w:val="20"/>
          <w:szCs w:val="20"/>
        </w:rPr>
        <w:t xml:space="preserve"> Уплата неустойки и штрафных санкций не освобождает Стороны от исполнения обязательств по настоящему Договору.</w:t>
      </w:r>
    </w:p>
    <w:p>
      <w:pPr>
        <w:pStyle w:val="Style19"/>
        <w:numPr>
          <w:ilvl w:val="0"/>
          <w:numId w:val="0"/>
        </w:numPr>
        <w:tabs>
          <w:tab w:val="clear" w:pos="265"/>
          <w:tab w:val="left" w:pos="1122" w:leader="none"/>
        </w:tabs>
        <w:spacing w:lineRule="auto" w:line="240" w:before="0" w:after="0"/>
        <w:ind w:left="0" w:right="0" w:hanging="0"/>
        <w:jc w:val="both"/>
        <w:rPr>
          <w:rFonts w:ascii="Times New Roman" w:hAnsi="Times New Roman"/>
          <w:sz w:val="20"/>
          <w:szCs w:val="20"/>
        </w:rPr>
      </w:pPr>
      <w:r>
        <w:rPr>
          <w:rFonts w:cs="Times New Roman"/>
          <w:b/>
          <w:bCs/>
          <w:sz w:val="20"/>
          <w:szCs w:val="20"/>
        </w:rPr>
        <w:t>6.12.</w:t>
      </w:r>
      <w:r>
        <w:rPr>
          <w:rFonts w:cs="Times New Roman"/>
          <w:sz w:val="20"/>
          <w:szCs w:val="20"/>
        </w:rPr>
        <w:t xml:space="preserve"> В дополнение и вне зависимости от изложенного выше, Поставщик возместит Покупателю по его письменному  требованию все расходы, понесенные Покупателем в связи с осуществлением любых действий, направленных на обеспечение исполнения Поставщиком своевременно не исполненных им или исполненных им ненадлежащим образом обязательств по настоящему Договору, включая любые судебные расходы по использованию услуг адвокатов в ходе ведения судебного процесса или любые иные расходы.</w:t>
      </w:r>
    </w:p>
    <w:p>
      <w:pPr>
        <w:pStyle w:val="Style19"/>
        <w:numPr>
          <w:ilvl w:val="0"/>
          <w:numId w:val="0"/>
        </w:numPr>
        <w:spacing w:lineRule="auto" w:line="240" w:before="0" w:after="0"/>
        <w:ind w:left="0" w:right="0" w:hanging="0"/>
        <w:jc w:val="both"/>
        <w:rPr>
          <w:rFonts w:ascii="Times New Roman" w:hAnsi="Times New Roman"/>
          <w:sz w:val="20"/>
          <w:szCs w:val="20"/>
        </w:rPr>
      </w:pPr>
      <w:r>
        <w:rPr>
          <w:rFonts w:cs="Times New Roman"/>
          <w:b/>
          <w:bCs/>
          <w:color w:val="000000"/>
          <w:sz w:val="20"/>
          <w:szCs w:val="20"/>
        </w:rPr>
        <w:t>6.13.</w:t>
      </w:r>
      <w:r>
        <w:rPr>
          <w:rFonts w:cs="Times New Roman"/>
          <w:color w:val="000000"/>
          <w:sz w:val="20"/>
          <w:szCs w:val="20"/>
        </w:rPr>
        <w:t xml:space="preserve"> В случае одностороннего отказа от исполнения Договора Покупатель имеет право дополнительно требовать с Поставщика уплаты штрафа в размере 10 (десяти) % от суммы Договора, указанной в п. 5.1. настоящего Договора, а также возмещения убытков.</w:t>
      </w:r>
    </w:p>
    <w:p>
      <w:pPr>
        <w:pStyle w:val="Normal"/>
        <w:jc w:val="both"/>
        <w:rPr/>
      </w:pPr>
      <w:r>
        <w:rPr>
          <w:rFonts w:cs="Times New Roman"/>
          <w:b/>
          <w:bCs/>
          <w:sz w:val="20"/>
          <w:szCs w:val="20"/>
        </w:rPr>
        <w:t>6.14.</w:t>
      </w:r>
      <w:r>
        <w:rPr>
          <w:rFonts w:cs="Times New Roman"/>
          <w:sz w:val="20"/>
          <w:szCs w:val="20"/>
        </w:rPr>
        <w:t xml:space="preserve"> В случае просрочки предоставления документов, перечисленных в п. 3.1.4., п. 3.1.5. настоящего Договора, иных товаросопроводительных документов, а также авансовых счетов-фактур, Покупатель имеет право требовать уплаты неустойки в размере 1/300 ключевой ставки Банка России от указанной в пункте </w:t>
      </w:r>
      <w:r>
        <w:rPr>
          <w:rFonts w:cs="Times New Roman"/>
          <w:color w:val="000000"/>
          <w:sz w:val="20"/>
          <w:szCs w:val="20"/>
        </w:rPr>
        <w:t>5.1.</w:t>
      </w:r>
      <w:r>
        <w:rPr>
          <w:rFonts w:cs="Times New Roman"/>
          <w:sz w:val="20"/>
          <w:szCs w:val="20"/>
        </w:rPr>
        <w:t xml:space="preserve"> суммы Договора за каждый день просрочки.</w:t>
      </w:r>
    </w:p>
    <w:p>
      <w:pPr>
        <w:pStyle w:val="Style19"/>
        <w:numPr>
          <w:ilvl w:val="0"/>
          <w:numId w:val="0"/>
        </w:numPr>
        <w:spacing w:lineRule="auto" w:line="240" w:before="0" w:after="0"/>
        <w:ind w:left="0" w:right="0" w:hanging="0"/>
        <w:jc w:val="both"/>
        <w:rPr>
          <w:rFonts w:ascii="Times New Roman" w:hAnsi="Times New Roman"/>
          <w:sz w:val="20"/>
          <w:szCs w:val="20"/>
        </w:rPr>
      </w:pPr>
      <w:r>
        <w:rPr>
          <w:rFonts w:cs="Times New Roman"/>
          <w:b/>
          <w:bCs/>
          <w:color w:val="000000"/>
          <w:sz w:val="20"/>
          <w:szCs w:val="20"/>
        </w:rPr>
        <w:t>6.15.</w:t>
      </w:r>
      <w:r>
        <w:rPr>
          <w:rFonts w:cs="Times New Roman"/>
          <w:color w:val="000000"/>
          <w:sz w:val="20"/>
          <w:szCs w:val="20"/>
        </w:rPr>
        <w:t xml:space="preserve"> </w:t>
      </w:r>
      <w:r>
        <w:rPr>
          <w:rFonts w:cs="Times New Roman"/>
          <w:sz w:val="20"/>
          <w:szCs w:val="20"/>
        </w:rPr>
        <w:t>В случае уклонения Поставщика от исполнения настоящего Договора, или существенного нарушения Поставщиком условий настоящего Договора и его последующего расторжения (по соглашению Сторон, или в судебном порядке, или в случае одностороннего отказа Покупателя от исполнения Договора) Покупатель имеет право внести Поставщика в реестры недобросовестных поставщиков.</w:t>
      </w:r>
    </w:p>
    <w:p>
      <w:pPr>
        <w:pStyle w:val="Style19"/>
        <w:numPr>
          <w:ilvl w:val="0"/>
          <w:numId w:val="0"/>
        </w:numPr>
        <w:spacing w:lineRule="auto" w:line="240" w:before="0" w:after="0"/>
        <w:ind w:left="0" w:right="0" w:hanging="0"/>
        <w:jc w:val="both"/>
        <w:rPr>
          <w:rFonts w:ascii="Times New Roman" w:hAnsi="Times New Roman"/>
          <w:sz w:val="20"/>
          <w:szCs w:val="20"/>
        </w:rPr>
      </w:pPr>
      <w:r>
        <w:rPr>
          <w:rFonts w:cs="Times New Roman"/>
          <w:b/>
          <w:bCs/>
          <w:sz w:val="20"/>
          <w:szCs w:val="20"/>
        </w:rPr>
        <w:t>6.1</w:t>
      </w:r>
      <w:r>
        <w:rPr>
          <w:rFonts w:cs="Times New Roman"/>
          <w:b/>
          <w:bCs/>
          <w:sz w:val="20"/>
          <w:szCs w:val="20"/>
          <w:lang w:val="en-US"/>
        </w:rPr>
        <w:t>6</w:t>
      </w:r>
      <w:r>
        <w:rPr>
          <w:rFonts w:cs="Times New Roman"/>
          <w:b/>
          <w:bCs/>
          <w:sz w:val="20"/>
          <w:szCs w:val="20"/>
        </w:rPr>
        <w:t>.</w:t>
      </w:r>
      <w:r>
        <w:rPr>
          <w:rFonts w:cs="Times New Roman"/>
          <w:sz w:val="20"/>
          <w:szCs w:val="20"/>
        </w:rPr>
        <w:t xml:space="preserve"> Информация о недобросовестном Поставщике заносится в публичный реестр недобросовестных поставщиков сроком на два года.</w:t>
      </w:r>
    </w:p>
    <w:p>
      <w:pPr>
        <w:pStyle w:val="Style19"/>
        <w:numPr>
          <w:ilvl w:val="0"/>
          <w:numId w:val="0"/>
        </w:numPr>
        <w:spacing w:lineRule="auto" w:line="240" w:before="0" w:after="0"/>
        <w:ind w:left="0" w:right="0" w:hanging="0"/>
        <w:jc w:val="both"/>
        <w:rPr>
          <w:rFonts w:ascii="Times New Roman" w:hAnsi="Times New Roman"/>
          <w:sz w:val="20"/>
          <w:szCs w:val="20"/>
        </w:rPr>
      </w:pPr>
      <w:r>
        <w:rPr>
          <w:rFonts w:cs="Times New Roman"/>
          <w:b/>
          <w:bCs/>
          <w:color w:val="000000"/>
          <w:sz w:val="20"/>
          <w:szCs w:val="20"/>
        </w:rPr>
        <w:t>6.1</w:t>
      </w:r>
      <w:r>
        <w:rPr>
          <w:rFonts w:cs="Times New Roman"/>
          <w:b/>
          <w:bCs/>
          <w:color w:val="000000"/>
          <w:sz w:val="20"/>
          <w:szCs w:val="20"/>
          <w:lang w:val="en-US"/>
        </w:rPr>
        <w:t>7</w:t>
      </w:r>
      <w:r>
        <w:rPr>
          <w:rFonts w:cs="Times New Roman"/>
          <w:b/>
          <w:bCs/>
          <w:color w:val="000000"/>
          <w:sz w:val="20"/>
          <w:szCs w:val="20"/>
        </w:rPr>
        <w:t>.</w:t>
      </w:r>
      <w:r>
        <w:rPr>
          <w:rFonts w:cs="Times New Roman"/>
          <w:color w:val="000000"/>
          <w:sz w:val="20"/>
          <w:szCs w:val="20"/>
        </w:rPr>
        <w:t xml:space="preserve"> К правоотношениям Сторон по настоящему Договору не применяются положения ст. 317.1 Гражданского кодекса Российской Федерации.</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7. Форс-мажорные обстоятельства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7.1. </w:t>
      </w:r>
      <w:r>
        <w:rPr>
          <w:color w:val="000000"/>
          <w:sz w:val="20"/>
          <w:szCs w:val="20"/>
        </w:rPr>
        <w:t>Любая из Сторон освобождается от ответственности за частичное или полное неисполнение обязательств по настоящему Договору, если такое неисполнение произошло в результате наступления форс-мажорных обстоятельств. Таковыми считаются внешнеэкономические, валютные, таможенные, налоговые и иные изменения и ограничения правительства; запрещение импорта или экспорта; любой законодательный акт, постановление или иная письменная директива, исходящие от любого правительственного органа, препятствующие исполнению настоящего Договора, имеющего юридическую силу над деятельностью Сторон настоящего Договора, причем они могут быть доведены до сведения Сторон как в форме законодательного акта, так и иными способами. Под форс-мажорными понимаются также любые беспорядки, война или военные действия, землетрясения, наводнения, пожары, эпидемии и иные явления катастрофического характера.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7.2. </w:t>
      </w:r>
      <w:r>
        <w:rPr>
          <w:color w:val="000000"/>
          <w:sz w:val="20"/>
          <w:szCs w:val="20"/>
        </w:rPr>
        <w:t>Сторона, для которой сложилась невозможность исполнения своих обязанностей вследствие форс-мажорных обстоятельств, должна в течение 3 рабочих дней с момента, когда она узнала или должна была узнать о наступлении таких обстоятельств, направить письменное уведомление другой Стороне с указанием характера события и предположительного срока его действия.</w:t>
      </w:r>
    </w:p>
    <w:p>
      <w:pPr>
        <w:pStyle w:val="Normal"/>
        <w:ind w:left="0" w:right="0" w:hanging="14"/>
        <w:jc w:val="both"/>
        <w:rPr>
          <w:rFonts w:ascii="Times New Roman" w:hAnsi="Times New Roman"/>
          <w:sz w:val="20"/>
          <w:szCs w:val="20"/>
        </w:rPr>
      </w:pPr>
      <w:r>
        <w:rPr>
          <w:b/>
          <w:color w:val="000000"/>
          <w:sz w:val="20"/>
          <w:szCs w:val="20"/>
        </w:rPr>
        <w:t xml:space="preserve">7.3. </w:t>
      </w:r>
      <w:r>
        <w:rPr>
          <w:color w:val="000000"/>
          <w:sz w:val="20"/>
          <w:szCs w:val="20"/>
        </w:rPr>
        <w:t>Наступление форс-мажорных обстоятельств должно быть подтверждено торгово-промышленной палатой Российской Федерации или другим официальным компетентным органом.</w:t>
      </w:r>
    </w:p>
    <w:p>
      <w:pPr>
        <w:pStyle w:val="Normal"/>
        <w:ind w:left="0" w:right="0" w:hanging="14"/>
        <w:jc w:val="both"/>
        <w:rPr>
          <w:rFonts w:ascii="Times New Roman" w:hAnsi="Times New Roman"/>
          <w:sz w:val="20"/>
          <w:szCs w:val="20"/>
        </w:rPr>
      </w:pPr>
      <w:r>
        <w:rPr>
          <w:b/>
          <w:color w:val="000000"/>
          <w:sz w:val="20"/>
          <w:szCs w:val="20"/>
        </w:rPr>
        <w:t xml:space="preserve">7.4. </w:t>
      </w:r>
      <w:r>
        <w:rPr>
          <w:color w:val="000000"/>
          <w:sz w:val="20"/>
          <w:szCs w:val="20"/>
        </w:rPr>
        <w:t>Положения раздела 7 Договора применяются независимо от того в чьей собственности в тот момент находился Товар, предусмотренный предметом настоящего Договора.</w:t>
      </w:r>
    </w:p>
    <w:p>
      <w:pPr>
        <w:pStyle w:val="Normal"/>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8. Разрешение споров</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8.1. </w:t>
      </w:r>
      <w:r>
        <w:rPr>
          <w:color w:val="000000"/>
          <w:sz w:val="20"/>
          <w:szCs w:val="20"/>
        </w:rPr>
        <w:t>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При этом, каждая из Сторон вправе претендовать на наличие у нее в письменном виде результатов разрешения возникших вопросов.</w:t>
      </w:r>
    </w:p>
    <w:p>
      <w:pPr>
        <w:pStyle w:val="Style19"/>
        <w:numPr>
          <w:ilvl w:val="0"/>
          <w:numId w:val="0"/>
        </w:numPr>
        <w:spacing w:before="0" w:after="0"/>
        <w:ind w:left="0" w:right="0" w:hanging="14"/>
        <w:jc w:val="both"/>
        <w:rPr/>
      </w:pPr>
      <w:r>
        <w:rPr>
          <w:b/>
          <w:bCs/>
          <w:sz w:val="20"/>
          <w:szCs w:val="20"/>
        </w:rPr>
        <w:t>8.2.</w:t>
      </w:r>
      <w:r>
        <w:rPr>
          <w:sz w:val="20"/>
          <w:szCs w:val="20"/>
        </w:rPr>
        <w:t xml:space="preserve"> Если Стороны не достигли взаимоприемлемого соглашения, то Стороны вправе передать спор на разрешение в Арбитражный суд Свердловской области. До обращения в Арбитражный суд Свердловской области между Сторонами применяется претензионный порядок урегулирования споров. Срок рассмотрения претензии – 10 календарных дней с момента получения претензии.</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8.3. </w:t>
      </w:r>
      <w:r>
        <w:rPr>
          <w:sz w:val="20"/>
          <w:szCs w:val="20"/>
        </w:rPr>
        <w:t>Стороны признают, что подписанный акт сверки взаиморасчетов подтверждает наличие дебиторской (кредиторской) задолженности у той или иной Стороны и не требует дальнейшего подтверждения при разрешении спора в Арбитражном суде.</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0"/>
        <w:jc w:val="center"/>
        <w:rPr>
          <w:rFonts w:ascii="Times New Roman" w:hAnsi="Times New Roman"/>
          <w:sz w:val="20"/>
          <w:szCs w:val="20"/>
        </w:rPr>
      </w:pPr>
      <w:r>
        <w:rPr>
          <w:b/>
          <w:bCs/>
          <w:color w:val="000000"/>
          <w:sz w:val="20"/>
          <w:szCs w:val="20"/>
        </w:rPr>
        <w:t>9. Конфиденциальность сведений</w:t>
      </w:r>
    </w:p>
    <w:p>
      <w:pPr>
        <w:pStyle w:val="Style19"/>
        <w:numPr>
          <w:ilvl w:val="0"/>
          <w:numId w:val="0"/>
        </w:numPr>
        <w:spacing w:before="0" w:after="0"/>
        <w:ind w:left="0" w:right="0" w:hanging="0"/>
        <w:jc w:val="both"/>
        <w:rPr>
          <w:rFonts w:ascii="Times New Roman" w:hAnsi="Times New Roman"/>
          <w:sz w:val="20"/>
          <w:szCs w:val="20"/>
        </w:rPr>
      </w:pPr>
      <w:r>
        <w:rPr>
          <w:b/>
          <w:color w:val="000000"/>
          <w:sz w:val="20"/>
          <w:szCs w:val="20"/>
        </w:rPr>
        <w:t xml:space="preserve">9.1. </w:t>
      </w:r>
      <w:r>
        <w:rPr>
          <w:rFonts w:eastAsia="Arial"/>
          <w:color w:val="000000"/>
          <w:sz w:val="20"/>
          <w:szCs w:val="20"/>
        </w:rPr>
        <w:t xml:space="preserve">Стороны обязуются обеспечить сохранность и конфиденциальность сведений, относящихся к предмету настоящего Договора, ходу его исполнения и полученным результатам, их защиту от несанкционированного доступа, в том числе графической информации, представленной в виде схем, эскизов, изображений, графиков, диаграмм, символов, рисунков, карт, а также в любом ином виде как на бумажных, так и на электронных носителях. </w:t>
      </w:r>
    </w:p>
    <w:p>
      <w:pPr>
        <w:pStyle w:val="Normal"/>
        <w:jc w:val="both"/>
        <w:rPr>
          <w:rFonts w:ascii="Times New Roman" w:hAnsi="Times New Roman"/>
          <w:sz w:val="20"/>
          <w:szCs w:val="20"/>
        </w:rPr>
      </w:pPr>
      <w:r>
        <w:rPr>
          <w:rFonts w:eastAsia="Arial"/>
          <w:b/>
          <w:color w:val="000000"/>
          <w:sz w:val="20"/>
          <w:szCs w:val="20"/>
        </w:rPr>
        <w:t xml:space="preserve">9.2. </w:t>
      </w:r>
      <w:r>
        <w:rPr>
          <w:rFonts w:eastAsia="Arial"/>
          <w:sz w:val="20"/>
          <w:szCs w:val="20"/>
        </w:rPr>
        <w:t>Указанные сведения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pPr>
        <w:pStyle w:val="Normal"/>
        <w:jc w:val="both"/>
        <w:rPr>
          <w:rFonts w:ascii="Times New Roman" w:hAnsi="Times New Roman"/>
          <w:sz w:val="20"/>
          <w:szCs w:val="20"/>
        </w:rPr>
      </w:pPr>
      <w:r>
        <w:rPr>
          <w:rFonts w:eastAsia="Arial"/>
          <w:b/>
          <w:color w:val="000000"/>
          <w:sz w:val="20"/>
          <w:szCs w:val="20"/>
        </w:rPr>
        <w:t xml:space="preserve">9.3. </w:t>
      </w:r>
      <w:r>
        <w:rPr>
          <w:rFonts w:eastAsia="Arial"/>
          <w:sz w:val="20"/>
          <w:szCs w:val="20"/>
        </w:rPr>
        <w:t xml:space="preserve">Стороны не несут ответственности в случае передачи информации государственным органам, имеющим правовое основание ее затребовать в соответствии с законодательством Российской Федерации. </w:t>
      </w:r>
    </w:p>
    <w:p>
      <w:pPr>
        <w:pStyle w:val="Normal"/>
        <w:jc w:val="both"/>
        <w:rPr>
          <w:rFonts w:ascii="Times New Roman" w:hAnsi="Times New Roman"/>
          <w:sz w:val="20"/>
          <w:szCs w:val="20"/>
        </w:rPr>
      </w:pPr>
      <w:r>
        <w:rPr>
          <w:rFonts w:eastAsia="Arial"/>
          <w:b/>
          <w:color w:val="000000"/>
          <w:sz w:val="20"/>
          <w:szCs w:val="20"/>
        </w:rPr>
        <w:t xml:space="preserve">9.4. </w:t>
      </w:r>
      <w:r>
        <w:rPr>
          <w:rFonts w:eastAsia="Arial"/>
          <w:sz w:val="20"/>
          <w:szCs w:val="20"/>
        </w:rPr>
        <w:t>По запросам Стороны будут сразу возвращать друг другу все оригиналы и, если таковые будут, копии полученной конфиденциальной информации (включая без ограничения печатные, рукописные, электронные носители), предоставленные и/или разработанные Сторонами в ходе выполнения своих обязательств по настоящему Договору.</w:t>
      </w:r>
    </w:p>
    <w:p>
      <w:pPr>
        <w:pStyle w:val="Normal"/>
        <w:jc w:val="both"/>
        <w:rPr>
          <w:rFonts w:ascii="Times New Roman" w:hAnsi="Times New Roman"/>
          <w:sz w:val="20"/>
          <w:szCs w:val="20"/>
        </w:rPr>
      </w:pPr>
      <w:r>
        <w:rPr>
          <w:rFonts w:eastAsia="Arial"/>
          <w:b/>
          <w:color w:val="000000"/>
          <w:sz w:val="20"/>
          <w:szCs w:val="20"/>
        </w:rPr>
        <w:t xml:space="preserve">9.5. </w:t>
      </w:r>
      <w:r>
        <w:rPr>
          <w:rFonts w:eastAsia="Arial"/>
          <w:sz w:val="20"/>
          <w:szCs w:val="20"/>
        </w:rPr>
        <w:t>При нарушении одной из Сторон оговоренных в настоящем Договоре обязательств потерпевшая Сторона вправе потребовать у виновной Стороны возмещения реального ущерба, понесенного потерпевшей Стороной вследствие этого нарушения.</w:t>
      </w:r>
    </w:p>
    <w:p>
      <w:pPr>
        <w:pStyle w:val="Style19"/>
        <w:numPr>
          <w:ilvl w:val="0"/>
          <w:numId w:val="0"/>
        </w:numPr>
        <w:spacing w:before="0" w:after="0"/>
        <w:ind w:left="0" w:right="0" w:hanging="0"/>
        <w:jc w:val="both"/>
        <w:rPr>
          <w:rFonts w:ascii="Times New Roman" w:hAnsi="Times New Roman"/>
          <w:sz w:val="20"/>
          <w:szCs w:val="20"/>
        </w:rPr>
      </w:pPr>
      <w:r>
        <w:rPr>
          <w:rFonts w:eastAsia="Arial"/>
          <w:b/>
          <w:iCs/>
          <w:color w:val="000000"/>
          <w:spacing w:val="1"/>
          <w:sz w:val="20"/>
          <w:szCs w:val="20"/>
        </w:rPr>
        <w:t xml:space="preserve">9.6. </w:t>
      </w:r>
      <w:r>
        <w:rPr>
          <w:rFonts w:eastAsia="Arial"/>
          <w:iCs/>
          <w:color w:val="000000"/>
          <w:spacing w:val="1"/>
          <w:sz w:val="20"/>
          <w:szCs w:val="20"/>
        </w:rPr>
        <w:t>Обязательства Сторон по соблюдению конфиденциальности информации сохраняют свою силу и после прекращения действия настоящего Договора</w:t>
      </w:r>
    </w:p>
    <w:p>
      <w:pPr>
        <w:pStyle w:val="Style19"/>
        <w:numPr>
          <w:ilvl w:val="0"/>
          <w:numId w:val="0"/>
        </w:numPr>
        <w:spacing w:before="0" w:after="0"/>
        <w:ind w:left="0" w:right="0" w:hanging="14"/>
        <w:jc w:val="both"/>
        <w:rPr>
          <w:rFonts w:ascii="Times New Roman" w:hAnsi="Times New Roman"/>
          <w:sz w:val="20"/>
          <w:szCs w:val="20"/>
        </w:rPr>
      </w:pPr>
      <w:r>
        <w:rPr>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10. Срок действия Договора</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10.1. </w:t>
      </w:r>
      <w:r>
        <w:rPr>
          <w:color w:val="000000"/>
          <w:sz w:val="20"/>
          <w:szCs w:val="20"/>
        </w:rPr>
        <w:t xml:space="preserve">Настоящий Договор вступает в силу с момента подписания обеими Сторонами и действует до исполнения Сторонами своих обязательств. </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10.2. </w:t>
      </w:r>
      <w:r>
        <w:rPr>
          <w:sz w:val="20"/>
          <w:szCs w:val="20"/>
        </w:rPr>
        <w:t>Настоящий Договор может быть расторгнут:</w:t>
      </w:r>
    </w:p>
    <w:p>
      <w:pPr>
        <w:pStyle w:val="ListParagraph"/>
        <w:ind w:left="0" w:right="0" w:hanging="14"/>
        <w:jc w:val="both"/>
        <w:rPr>
          <w:rFonts w:ascii="Times New Roman" w:hAnsi="Times New Roman"/>
          <w:sz w:val="20"/>
          <w:szCs w:val="20"/>
        </w:rPr>
      </w:pPr>
      <w:r>
        <w:rPr>
          <w:sz w:val="20"/>
          <w:szCs w:val="20"/>
        </w:rPr>
        <w:t>- по взаимному согласию Сторон;</w:t>
      </w:r>
    </w:p>
    <w:p>
      <w:pPr>
        <w:pStyle w:val="ListParagraph"/>
        <w:ind w:left="0" w:right="0" w:hanging="14"/>
        <w:jc w:val="both"/>
        <w:rPr>
          <w:rFonts w:ascii="Times New Roman" w:hAnsi="Times New Roman"/>
          <w:sz w:val="20"/>
          <w:szCs w:val="20"/>
        </w:rPr>
      </w:pPr>
      <w:r>
        <w:rPr>
          <w:sz w:val="20"/>
          <w:szCs w:val="20"/>
        </w:rPr>
        <w:t>- в одностороннем порядке в случаях, установленных действующим законодательством и настоящим Договором.</w:t>
      </w:r>
    </w:p>
    <w:p>
      <w:pPr>
        <w:pStyle w:val="ListParagraph"/>
        <w:spacing w:lineRule="auto" w:line="240"/>
        <w:ind w:left="0" w:right="0" w:hanging="14"/>
        <w:jc w:val="both"/>
        <w:rPr>
          <w:rFonts w:ascii="Times New Roman" w:hAnsi="Times New Roman"/>
          <w:sz w:val="20"/>
          <w:szCs w:val="20"/>
        </w:rPr>
      </w:pPr>
      <w:r>
        <w:rPr>
          <w:rFonts w:cs="Times New Roman"/>
          <w:b/>
          <w:bCs/>
          <w:sz w:val="20"/>
          <w:szCs w:val="20"/>
        </w:rPr>
        <w:t xml:space="preserve">10.3. </w:t>
      </w:r>
      <w:r>
        <w:rPr>
          <w:rFonts w:cs="Times New Roman"/>
          <w:b w:val="false"/>
          <w:bCs w:val="false"/>
          <w:sz w:val="20"/>
          <w:szCs w:val="20"/>
        </w:rPr>
        <w:t>Покупатель вправе расторгнуть настоящий Договор (отказаться от исполнения Договора) в одностороннем порядке, известив об этом письменно (в том числе по</w:t>
      </w:r>
      <w:r>
        <w:rPr>
          <w:rStyle w:val="Style17"/>
          <w:rFonts w:eastAsia="Times New Roman" w:cs="Times New Roman"/>
          <w:b w:val="false"/>
          <w:bCs w:val="false"/>
          <w:color w:val="auto"/>
          <w:kern w:val="2"/>
          <w:sz w:val="20"/>
          <w:szCs w:val="20"/>
          <w:u w:val="none"/>
          <w:lang w:val="ru-RU" w:eastAsia="zh-CN" w:bidi="ar-SA"/>
        </w:rPr>
        <w:t xml:space="preserve"> электронной почте или иным удобным Поставщику способом по реквизитам Покупателя</w:t>
      </w:r>
      <w:r>
        <w:rPr>
          <w:rFonts w:cs="Times New Roman"/>
          <w:b w:val="false"/>
          <w:bCs w:val="false"/>
          <w:sz w:val="20"/>
          <w:szCs w:val="20"/>
        </w:rPr>
        <w:t>) другую Сторону в следующих случаях:</w:t>
      </w:r>
    </w:p>
    <w:p>
      <w:pPr>
        <w:pStyle w:val="Style19"/>
        <w:numPr>
          <w:ilvl w:val="0"/>
          <w:numId w:val="0"/>
        </w:numPr>
        <w:tabs>
          <w:tab w:val="clear" w:pos="265"/>
          <w:tab w:val="left" w:pos="900" w:leader="none"/>
        </w:tabs>
        <w:spacing w:lineRule="auto" w:line="240" w:before="0" w:after="0"/>
        <w:ind w:left="0" w:right="0" w:hanging="0"/>
        <w:jc w:val="both"/>
        <w:rPr>
          <w:rFonts w:ascii="Times New Roman" w:hAnsi="Times New Roman"/>
          <w:sz w:val="20"/>
          <w:szCs w:val="20"/>
        </w:rPr>
      </w:pPr>
      <w:r>
        <w:rPr>
          <w:rFonts w:cs="Times New Roman"/>
          <w:b w:val="false"/>
          <w:bCs w:val="false"/>
          <w:sz w:val="20"/>
          <w:szCs w:val="20"/>
        </w:rPr>
        <w:t>- в случае поставки Товара ненадлежащего качества с недостатками, которые не могут быть устранены в приемлемый для Покупателя срок либо неустранимых недостатков, недостатков, которые выявляются неоднократно либо проявляются вновь после их устранения;</w:t>
      </w:r>
    </w:p>
    <w:p>
      <w:pPr>
        <w:pStyle w:val="Style19"/>
        <w:numPr>
          <w:ilvl w:val="0"/>
          <w:numId w:val="0"/>
        </w:numPr>
        <w:tabs>
          <w:tab w:val="clear" w:pos="265"/>
          <w:tab w:val="left" w:pos="900" w:leader="none"/>
        </w:tabs>
        <w:spacing w:lineRule="auto" w:line="240" w:before="0" w:after="0"/>
        <w:ind w:left="0" w:right="0" w:hanging="0"/>
        <w:jc w:val="both"/>
        <w:rPr>
          <w:rFonts w:ascii="Times New Roman" w:hAnsi="Times New Roman"/>
          <w:sz w:val="20"/>
          <w:szCs w:val="20"/>
        </w:rPr>
      </w:pPr>
      <w:r>
        <w:rPr>
          <w:rFonts w:cs="Times New Roman"/>
          <w:b w:val="false"/>
          <w:bCs w:val="false"/>
          <w:sz w:val="20"/>
          <w:szCs w:val="20"/>
        </w:rPr>
        <w:t>- в случае однократного нарушения Поставщиком сроков поставки Товара более чем на 15 календарных дней;</w:t>
      </w:r>
    </w:p>
    <w:p>
      <w:pPr>
        <w:pStyle w:val="Style19"/>
        <w:numPr>
          <w:ilvl w:val="0"/>
          <w:numId w:val="0"/>
        </w:numPr>
        <w:tabs>
          <w:tab w:val="clear" w:pos="265"/>
          <w:tab w:val="left" w:pos="900" w:leader="none"/>
        </w:tabs>
        <w:spacing w:lineRule="auto" w:line="240" w:before="0" w:after="0"/>
        <w:ind w:left="0" w:right="0" w:hanging="0"/>
        <w:jc w:val="both"/>
        <w:rPr>
          <w:rFonts w:ascii="Times New Roman" w:hAnsi="Times New Roman"/>
          <w:sz w:val="20"/>
          <w:szCs w:val="20"/>
        </w:rPr>
      </w:pPr>
      <w:r>
        <w:rPr>
          <w:rFonts w:cs="Times New Roman"/>
          <w:b w:val="false"/>
          <w:bCs w:val="false"/>
          <w:sz w:val="20"/>
          <w:szCs w:val="20"/>
        </w:rPr>
        <w:t>- в случае поставки Товара в меньшем количестве, чем это установлено настоящим Договором, если передача недостающего количества Товара не может быть осуществлена Поставщиком в приемлемый для Покупателя срок.</w:t>
      </w:r>
    </w:p>
    <w:p>
      <w:pPr>
        <w:pStyle w:val="Style19"/>
        <w:numPr>
          <w:ilvl w:val="0"/>
          <w:numId w:val="0"/>
        </w:numPr>
        <w:tabs>
          <w:tab w:val="clear" w:pos="265"/>
          <w:tab w:val="left" w:pos="900" w:leader="none"/>
        </w:tabs>
        <w:spacing w:lineRule="auto" w:line="240" w:before="0" w:after="0"/>
        <w:ind w:left="0" w:right="0" w:hanging="0"/>
        <w:jc w:val="both"/>
        <w:rPr>
          <w:rFonts w:ascii="Times New Roman" w:hAnsi="Times New Roman"/>
          <w:sz w:val="20"/>
          <w:szCs w:val="20"/>
        </w:rPr>
      </w:pPr>
      <w:r>
        <w:rPr>
          <w:rFonts w:cs="Times New Roman"/>
          <w:b w:val="false"/>
          <w:bCs w:val="false"/>
          <w:sz w:val="20"/>
          <w:szCs w:val="20"/>
        </w:rPr>
        <w:t>- в случае получения от Поставщика письма с информацией о невозможности поставки Товара по установленной в Договоре цене.</w:t>
      </w:r>
    </w:p>
    <w:p>
      <w:pPr>
        <w:pStyle w:val="ListParagraph"/>
        <w:spacing w:lineRule="auto" w:line="240"/>
        <w:ind w:left="0" w:right="0" w:hanging="14"/>
        <w:jc w:val="both"/>
        <w:rPr>
          <w:rFonts w:ascii="Times New Roman" w:hAnsi="Times New Roman"/>
          <w:sz w:val="20"/>
          <w:szCs w:val="20"/>
        </w:rPr>
      </w:pPr>
      <w:r>
        <w:rPr>
          <w:rFonts w:cs="Times New Roman"/>
          <w:b w:val="false"/>
          <w:bCs w:val="false"/>
          <w:color w:val="000000"/>
          <w:sz w:val="20"/>
          <w:szCs w:val="20"/>
          <w:shd w:fill="auto" w:val="clear"/>
        </w:rPr>
        <w:t>В указанных случаях действие Договора прекращается с момента получения Поставщиком извещения Покупателя, если извещением не установлено иное.</w:t>
      </w:r>
    </w:p>
    <w:p>
      <w:pPr>
        <w:pStyle w:val="Style19"/>
        <w:numPr>
          <w:ilvl w:val="0"/>
          <w:numId w:val="0"/>
        </w:numPr>
        <w:spacing w:before="0" w:after="0"/>
        <w:ind w:left="0" w:right="0" w:hanging="14"/>
        <w:jc w:val="both"/>
        <w:rPr>
          <w:rFonts w:ascii="Times New Roman" w:hAnsi="Times New Roman"/>
          <w:color w:val="000000"/>
          <w:sz w:val="20"/>
          <w:szCs w:val="20"/>
        </w:rPr>
      </w:pPr>
      <w:r>
        <w:rPr>
          <w:color w:val="000000"/>
          <w:sz w:val="20"/>
          <w:szCs w:val="20"/>
        </w:rPr>
      </w:r>
    </w:p>
    <w:p>
      <w:pPr>
        <w:pStyle w:val="P24"/>
        <w:keepNext w:val="true"/>
        <w:widowControl/>
        <w:overflowPunct w:val="true"/>
        <w:bidi w:val="0"/>
        <w:spacing w:lineRule="atLeast" w:line="200" w:before="0" w:after="0"/>
        <w:ind w:left="0" w:right="0" w:hanging="0"/>
        <w:jc w:val="center"/>
        <w:rPr/>
      </w:pPr>
      <w:r>
        <w:rPr>
          <w:b/>
          <w:bCs/>
          <w:color w:val="000000"/>
          <w:sz w:val="20"/>
          <w:szCs w:val="20"/>
        </w:rPr>
        <w:t>11. Антикоррупционная оговорка</w:t>
      </w:r>
    </w:p>
    <w:p>
      <w:pPr>
        <w:pStyle w:val="P24"/>
        <w:spacing w:before="0" w:after="0"/>
        <w:ind w:left="-15" w:right="0" w:firstLine="15"/>
        <w:jc w:val="both"/>
        <w:rPr>
          <w:rFonts w:ascii="Times New Roman" w:hAnsi="Times New Roman"/>
          <w:sz w:val="20"/>
          <w:szCs w:val="20"/>
        </w:rPr>
      </w:pPr>
      <w:r>
        <w:rPr>
          <w:b/>
          <w:bCs/>
          <w:color w:val="000000"/>
          <w:sz w:val="20"/>
          <w:szCs w:val="20"/>
        </w:rPr>
        <w:t>11.1.</w:t>
      </w:r>
      <w:r>
        <w:rPr>
          <w:color w:val="000000"/>
          <w:sz w:val="20"/>
          <w:szCs w:val="2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P24"/>
        <w:spacing w:before="0" w:after="0"/>
        <w:ind w:left="-15" w:right="0" w:firstLine="15"/>
        <w:jc w:val="both"/>
        <w:rPr>
          <w:rFonts w:ascii="Times New Roman" w:hAnsi="Times New Roman"/>
          <w:sz w:val="20"/>
          <w:szCs w:val="20"/>
        </w:rPr>
      </w:pPr>
      <w:r>
        <w:rPr>
          <w:b/>
          <w:bCs/>
          <w:color w:val="000000"/>
          <w:sz w:val="20"/>
          <w:szCs w:val="20"/>
        </w:rPr>
        <w:t>11.2.</w:t>
      </w:r>
      <w:r>
        <w:rPr>
          <w:color w:val="000000"/>
          <w:sz w:val="20"/>
          <w:szCs w:val="20"/>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pPr>
        <w:pStyle w:val="P24"/>
        <w:spacing w:before="0" w:after="0"/>
        <w:ind w:left="0" w:right="0" w:firstLine="15"/>
        <w:jc w:val="both"/>
        <w:rPr>
          <w:rFonts w:ascii="Times New Roman" w:hAnsi="Times New Roman"/>
          <w:sz w:val="20"/>
          <w:szCs w:val="20"/>
        </w:rPr>
      </w:pPr>
      <w:r>
        <w:rPr>
          <w:b/>
          <w:bCs/>
          <w:color w:val="000000"/>
          <w:sz w:val="20"/>
          <w:szCs w:val="20"/>
        </w:rPr>
        <w:t>11.3.</w:t>
      </w:r>
      <w:r>
        <w:rPr>
          <w:color w:val="000000"/>
          <w:sz w:val="20"/>
          <w:szCs w:val="20"/>
        </w:rPr>
        <w:t xml:space="preserve">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pPr>
        <w:pStyle w:val="P26"/>
        <w:spacing w:before="0" w:after="0"/>
        <w:ind w:left="-15" w:right="0" w:firstLine="15"/>
        <w:jc w:val="both"/>
        <w:rPr>
          <w:rFonts w:ascii="Times New Roman" w:hAnsi="Times New Roman"/>
          <w:sz w:val="20"/>
          <w:szCs w:val="20"/>
        </w:rPr>
      </w:pPr>
      <w:r>
        <w:rPr>
          <w:b/>
          <w:bCs/>
          <w:color w:val="000000"/>
          <w:sz w:val="20"/>
          <w:szCs w:val="20"/>
        </w:rPr>
        <w:t xml:space="preserve">11.4. </w:t>
      </w:r>
      <w:r>
        <w:rPr>
          <w:color w:val="000000"/>
          <w:sz w:val="20"/>
          <w:szCs w:val="20"/>
        </w:rPr>
        <w:t xml:space="preserve">При  выявлении фактов нарушения одной из Сторон требований Антикоррупционной оговорки Стороны обязаны руководствоваться требованиями </w:t>
      </w:r>
      <w:r>
        <w:rPr>
          <w:sz w:val="20"/>
          <w:szCs w:val="20"/>
        </w:rPr>
        <w:t>Федерального закона от 25.12.2008 № 273-ФЗ «О противодействии коррупции», Гражданского кодекса РФ и иных действующих нормативных правовых актов.»</w:t>
      </w:r>
    </w:p>
    <w:p>
      <w:pPr>
        <w:pStyle w:val="Style19"/>
        <w:numPr>
          <w:ilvl w:val="0"/>
          <w:numId w:val="0"/>
        </w:numPr>
        <w:spacing w:before="0" w:after="0"/>
        <w:ind w:left="0" w:right="0" w:hanging="14"/>
        <w:jc w:val="center"/>
        <w:rPr>
          <w:rFonts w:ascii="Times New Roman" w:hAnsi="Times New Roman"/>
          <w:b/>
          <w:b/>
          <w:bCs/>
          <w:color w:val="000000"/>
          <w:sz w:val="20"/>
          <w:szCs w:val="20"/>
        </w:rPr>
      </w:pPr>
      <w:r>
        <w:rPr>
          <w:b/>
          <w:bCs/>
          <w:color w:val="000000"/>
          <w:sz w:val="20"/>
          <w:szCs w:val="20"/>
        </w:rPr>
      </w:r>
    </w:p>
    <w:p>
      <w:pPr>
        <w:pStyle w:val="Style19"/>
        <w:keepNext w:val="true"/>
        <w:numPr>
          <w:ilvl w:val="0"/>
          <w:numId w:val="0"/>
        </w:numPr>
        <w:spacing w:before="0" w:after="0"/>
        <w:ind w:left="0" w:right="0" w:hanging="14"/>
        <w:jc w:val="center"/>
        <w:rPr>
          <w:rFonts w:ascii="Times New Roman" w:hAnsi="Times New Roman"/>
          <w:sz w:val="20"/>
          <w:szCs w:val="20"/>
        </w:rPr>
      </w:pPr>
      <w:r>
        <w:rPr>
          <w:b/>
          <w:bCs/>
          <w:color w:val="000000"/>
          <w:sz w:val="20"/>
          <w:szCs w:val="20"/>
        </w:rPr>
        <w:t>12. Дополнительные условия</w:t>
      </w:r>
    </w:p>
    <w:p>
      <w:pPr>
        <w:pStyle w:val="Style19"/>
        <w:numPr>
          <w:ilvl w:val="0"/>
          <w:numId w:val="0"/>
        </w:numPr>
        <w:spacing w:before="0" w:after="0"/>
        <w:ind w:left="0" w:right="0" w:hanging="14"/>
        <w:jc w:val="both"/>
        <w:rPr>
          <w:rFonts w:ascii="Times New Roman" w:hAnsi="Times New Roman"/>
          <w:sz w:val="20"/>
          <w:szCs w:val="20"/>
        </w:rPr>
      </w:pPr>
      <w:r>
        <w:rPr>
          <w:b/>
          <w:color w:val="000000"/>
          <w:sz w:val="20"/>
          <w:szCs w:val="20"/>
        </w:rPr>
        <w:t xml:space="preserve">12.1. </w:t>
      </w:r>
      <w:r>
        <w:rPr>
          <w:color w:val="000000"/>
          <w:sz w:val="20"/>
          <w:szCs w:val="20"/>
        </w:rPr>
        <w:t xml:space="preserve">Все изменения и дополнения к настоящему Договору действительны в том случае, если они оформлены в письменном виде, подписаны полномочными представителями обеих Сторон и скреплены печатями. </w:t>
      </w:r>
    </w:p>
    <w:p>
      <w:pPr>
        <w:pStyle w:val="Style19"/>
        <w:numPr>
          <w:ilvl w:val="0"/>
          <w:numId w:val="0"/>
        </w:numPr>
        <w:spacing w:before="0" w:after="0"/>
        <w:ind w:left="0" w:right="0" w:hanging="0"/>
        <w:jc w:val="both"/>
        <w:rPr>
          <w:rFonts w:ascii="Times New Roman" w:hAnsi="Times New Roman"/>
          <w:sz w:val="20"/>
          <w:szCs w:val="20"/>
        </w:rPr>
      </w:pPr>
      <w:r>
        <w:rPr>
          <w:b/>
          <w:color w:val="000000"/>
          <w:sz w:val="20"/>
          <w:szCs w:val="20"/>
        </w:rPr>
        <w:t xml:space="preserve">12.2. </w:t>
      </w:r>
      <w:r>
        <w:rPr>
          <w:color w:val="000000"/>
          <w:sz w:val="20"/>
          <w:szCs w:val="20"/>
        </w:rPr>
        <w:t xml:space="preserve">Стороны пришли к соглашению о том, что во исполнение положений настоящего Договора оплата, направление документов и прочее будет производиться по соответствующим реквизитам, указанным в разделе 14 настоящего Договора. Все убытки, связанные с неправильным указанием платежных и иных реквизитов, указанных в Разделе 14 несет виновная Сторона. </w:t>
      </w:r>
    </w:p>
    <w:p>
      <w:pPr>
        <w:pStyle w:val="Style19"/>
        <w:numPr>
          <w:ilvl w:val="0"/>
          <w:numId w:val="0"/>
        </w:numPr>
        <w:spacing w:before="0" w:after="0"/>
        <w:ind w:left="0" w:right="0" w:hanging="0"/>
        <w:jc w:val="both"/>
        <w:rPr>
          <w:rFonts w:ascii="Times New Roman" w:hAnsi="Times New Roman"/>
          <w:sz w:val="20"/>
          <w:szCs w:val="20"/>
        </w:rPr>
      </w:pPr>
      <w:r>
        <w:rPr>
          <w:b/>
          <w:color w:val="000000"/>
          <w:sz w:val="20"/>
          <w:szCs w:val="20"/>
        </w:rPr>
        <w:t xml:space="preserve">12.3. </w:t>
      </w:r>
      <w:r>
        <w:rPr>
          <w:color w:val="000000"/>
          <w:sz w:val="20"/>
          <w:szCs w:val="20"/>
        </w:rPr>
        <w:t xml:space="preserve">По всем вопросам, связанным с поставкой и оплатой Товара и не урегулированным настоящим Договором, Стороны договорились руководствоваться действующим гражданским законодательством РФ. </w:t>
      </w:r>
    </w:p>
    <w:p>
      <w:pPr>
        <w:pStyle w:val="Style19"/>
        <w:numPr>
          <w:ilvl w:val="0"/>
          <w:numId w:val="0"/>
        </w:numPr>
        <w:spacing w:before="0" w:after="0"/>
        <w:ind w:left="0" w:right="0" w:hanging="14"/>
        <w:jc w:val="both"/>
        <w:rPr/>
      </w:pPr>
      <w:r>
        <w:rPr>
          <w:b/>
          <w:color w:val="000000"/>
          <w:sz w:val="20"/>
          <w:szCs w:val="20"/>
        </w:rPr>
        <w:t xml:space="preserve">12.4. </w:t>
      </w:r>
      <w:r>
        <w:rPr>
          <w:color w:val="000000"/>
          <w:sz w:val="20"/>
          <w:szCs w:val="20"/>
        </w:rPr>
        <w:t>Ни одна из Сторон не вправе передавать свои права и обязанности по настоящему Договору третьей стороне без согласия другой Стороны, оформленного в письменной форме.</w:t>
      </w:r>
    </w:p>
    <w:p>
      <w:pPr>
        <w:pStyle w:val="Style19"/>
        <w:numPr>
          <w:ilvl w:val="0"/>
          <w:numId w:val="0"/>
        </w:numPr>
        <w:spacing w:before="0" w:after="0"/>
        <w:ind w:left="0" w:right="0" w:hanging="14"/>
        <w:jc w:val="both"/>
        <w:rPr/>
      </w:pPr>
      <w:r>
        <w:rPr>
          <w:b/>
          <w:color w:val="000000"/>
          <w:sz w:val="20"/>
          <w:szCs w:val="20"/>
        </w:rPr>
        <w:t xml:space="preserve">12.5. </w:t>
      </w:r>
      <w:r>
        <w:rPr>
          <w:b w:val="false"/>
          <w:bCs w:val="false"/>
          <w:color w:val="000000"/>
          <w:sz w:val="20"/>
          <w:szCs w:val="20"/>
        </w:rPr>
        <w:t>Настоящий Договор составлен на русском языке. При заключении настоящего Договора в бумажной форме он составляется в 2-х экземплярах, каждый из которых имеет одинаковую юридическую силу. Один экземпляр Договора находится у Поставщика, второй экземпляр Договора находится у Покупателя. При заключении настоящего Договора в электронном виде с использованием Сторонами Договора функционала соответствующей электронной торговой площадки и подписания его электронными подписями представителей Сторон Договора обмен оригиналами Договора в бумажной форме Сторонами настоящего Договора не производится. В этом случае экземпляр заключенного Договора, размещенный на соответствующей электронной торговой площадке, имеет юридическую силу Договора, подписанного обеими Сторонами.</w:t>
      </w:r>
    </w:p>
    <w:p>
      <w:pPr>
        <w:pStyle w:val="Style19"/>
        <w:numPr>
          <w:ilvl w:val="0"/>
          <w:numId w:val="0"/>
        </w:numPr>
        <w:spacing w:lineRule="atLeast" w:line="100" w:before="0" w:after="0"/>
        <w:ind w:left="0" w:right="0" w:hanging="0"/>
        <w:jc w:val="both"/>
        <w:rPr>
          <w:rFonts w:ascii="Times New Roman" w:hAnsi="Times New Roman"/>
          <w:sz w:val="20"/>
          <w:szCs w:val="20"/>
        </w:rPr>
      </w:pPr>
      <w:r>
        <w:rPr>
          <w:b/>
          <w:color w:val="000000"/>
          <w:sz w:val="20"/>
          <w:szCs w:val="20"/>
        </w:rPr>
        <w:t xml:space="preserve">12.6. </w:t>
      </w:r>
      <w:r>
        <w:rPr>
          <w:color w:val="000000"/>
          <w:sz w:val="20"/>
          <w:szCs w:val="20"/>
        </w:rPr>
        <w:t xml:space="preserve">Все документы к настоящему Договору (в том числе проект настоящего Договора, Спецификации, дополнительные соглашения, документы об исполнении Договора и т.д.) могут быть оформлены посредством телефонной (факс) связи, а также посредством направления скан-копий документов по  указанным в реквизитах настоящего Договора адресам электронной почты и имеют юридическую силу до обмена оригиналами. </w:t>
      </w:r>
    </w:p>
    <w:p>
      <w:pPr>
        <w:pStyle w:val="Style19"/>
        <w:numPr>
          <w:ilvl w:val="0"/>
          <w:numId w:val="0"/>
        </w:numPr>
        <w:spacing w:lineRule="atLeast" w:line="100" w:before="0" w:after="0"/>
        <w:ind w:left="0" w:right="0" w:hanging="0"/>
        <w:jc w:val="both"/>
        <w:rPr>
          <w:rFonts w:ascii="Times New Roman" w:hAnsi="Times New Roman"/>
          <w:sz w:val="20"/>
          <w:szCs w:val="20"/>
        </w:rPr>
      </w:pPr>
      <w:r>
        <w:rPr>
          <w:color w:val="000000"/>
          <w:sz w:val="20"/>
          <w:szCs w:val="20"/>
        </w:rPr>
        <w:t>Согласование Сторонами изменения платежных и/или отгрузочных реквизитов, юридического и/или почтового адреса, номеров телефонов, факсов, смены руководителя организации, производится путем обмена письмами без заключения Сторонами дополнительных соглашений.</w:t>
      </w:r>
    </w:p>
    <w:p>
      <w:pPr>
        <w:pStyle w:val="Style19"/>
        <w:numPr>
          <w:ilvl w:val="0"/>
          <w:numId w:val="0"/>
        </w:numPr>
        <w:spacing w:lineRule="atLeast" w:line="100" w:before="0" w:after="0"/>
        <w:ind w:left="0" w:right="0" w:hanging="0"/>
        <w:jc w:val="both"/>
        <w:rPr>
          <w:rFonts w:ascii="Times New Roman" w:hAnsi="Times New Roman"/>
          <w:sz w:val="20"/>
          <w:szCs w:val="20"/>
        </w:rPr>
      </w:pPr>
      <w:r>
        <w:rPr>
          <w:color w:val="000000"/>
          <w:sz w:val="20"/>
          <w:szCs w:val="20"/>
        </w:rPr>
        <w:t>Обмен оригиналами обязателен и должен быть произведен не позднее двухнедельного срока, со дня осуществления действия, удостоверяемого этими документами. Стороны предпринимают все меры, чтобы факсимильные (сканированные) экземпляры документов были читаемыми, разборчивы и со временем сохраняли содержание переданного текста.</w:t>
      </w:r>
    </w:p>
    <w:p>
      <w:pPr>
        <w:pStyle w:val="Normal"/>
        <w:spacing w:lineRule="atLeast" w:line="100"/>
        <w:jc w:val="both"/>
        <w:rPr>
          <w:rFonts w:ascii="Times New Roman" w:hAnsi="Times New Roman"/>
          <w:sz w:val="20"/>
          <w:szCs w:val="20"/>
        </w:rPr>
      </w:pPr>
      <w:r>
        <w:rPr>
          <w:color w:val="000000"/>
          <w:sz w:val="20"/>
          <w:szCs w:val="20"/>
        </w:rPr>
        <w:t xml:space="preserve">Юридически значимые сообщения Сторон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 том числе претензии Покупателя к Поставщику, а также уведомления об одностороннем отказе Покупателя от исполнения настоящего Договора и др.) могут быть направлены посредством электронной почты по адресам, указанным в реквизитах настоящего Договора.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pPr>
        <w:pStyle w:val="Style19"/>
        <w:numPr>
          <w:ilvl w:val="0"/>
          <w:numId w:val="0"/>
        </w:numPr>
        <w:spacing w:before="0" w:after="0"/>
        <w:ind w:left="0" w:right="0" w:hanging="14"/>
        <w:jc w:val="both"/>
        <w:rPr>
          <w:rFonts w:ascii="Times New Roman" w:hAnsi="Times New Roman"/>
          <w:sz w:val="20"/>
          <w:szCs w:val="20"/>
        </w:rPr>
      </w:pPr>
      <w:r>
        <w:rPr>
          <w:b/>
          <w:bCs/>
          <w:color w:val="000000"/>
          <w:sz w:val="20"/>
          <w:szCs w:val="20"/>
        </w:rPr>
        <w:t xml:space="preserve">12.7. </w:t>
      </w:r>
      <w:r>
        <w:rPr>
          <w:color w:val="000000"/>
          <w:sz w:val="20"/>
          <w:szCs w:val="20"/>
        </w:rPr>
        <w:t xml:space="preserve"> Поставщик гарантирует, что поставляемый Товар и/или его составные части не нарушают исключительных прав третьих лиц, в том числе прав в отношении товарных знаков. Если к Покупателю будут предъявлены претензии со стороны третьих лиц в отношении результатов интеллектуальной деятельности, реализованных в поставляемом Товаре и/или его составной части, в том числе в отношении товарных знаков, Поставщик урегулирует такие претензии самостоятельно за свой счет, при этом Поставщик не освобождается от обязанности поставить изделие свободное от прав и/или требований третьих лиц. Поставщик, в случае применения к Покупателю мер, ответственности за нарушение интеллектуальных прав, используемых в Товаре, поставленном Покупателю, возместит Покупателю понесенные убытки, включая суммы, выплаченные Покупателем  третьим лицам.</w:t>
      </w:r>
    </w:p>
    <w:p>
      <w:pPr>
        <w:pStyle w:val="Style19"/>
        <w:numPr>
          <w:ilvl w:val="0"/>
          <w:numId w:val="0"/>
        </w:numPr>
        <w:spacing w:before="0" w:after="0"/>
        <w:ind w:left="0" w:right="0" w:hanging="0"/>
        <w:jc w:val="both"/>
        <w:rPr>
          <w:rFonts w:ascii="Times New Roman" w:hAnsi="Times New Roman"/>
          <w:sz w:val="20"/>
          <w:szCs w:val="20"/>
        </w:rPr>
      </w:pPr>
      <w:r>
        <w:rPr>
          <w:b/>
          <w:bCs/>
          <w:color w:val="000000"/>
          <w:sz w:val="20"/>
          <w:szCs w:val="20"/>
        </w:rPr>
        <w:t>12.8.</w:t>
      </w:r>
      <w:r>
        <w:rPr>
          <w:color w:val="000000"/>
          <w:sz w:val="20"/>
          <w:szCs w:val="20"/>
        </w:rPr>
        <w:t xml:space="preserve"> К правоотношениям Сторон по настоящему Договору не применяются положения статьи 317.1 Гражданского кодекса Российской Федерации.</w:t>
      </w:r>
    </w:p>
    <w:p>
      <w:pPr>
        <w:pStyle w:val="Style19"/>
        <w:numPr>
          <w:ilvl w:val="0"/>
          <w:numId w:val="0"/>
        </w:numPr>
        <w:tabs>
          <w:tab w:val="clear" w:pos="265"/>
          <w:tab w:val="left" w:pos="15" w:leader="none"/>
          <w:tab w:val="left" w:pos="561" w:leader="none"/>
        </w:tabs>
        <w:spacing w:before="0" w:after="0"/>
        <w:ind w:left="0" w:right="0" w:firstLine="561"/>
        <w:jc w:val="both"/>
        <w:rPr>
          <w:rFonts w:ascii="Times New Roman" w:hAnsi="Times New Roman"/>
          <w:sz w:val="20"/>
          <w:szCs w:val="20"/>
        </w:rPr>
      </w:pPr>
      <w:r>
        <w:rPr>
          <w:sz w:val="20"/>
          <w:szCs w:val="20"/>
        </w:rPr>
      </w:r>
    </w:p>
    <w:p>
      <w:pPr>
        <w:pStyle w:val="Normal"/>
        <w:jc w:val="center"/>
        <w:rPr>
          <w:rFonts w:ascii="Times New Roman" w:hAnsi="Times New Roman" w:eastAsia="Times New Roman" w:cs="Times New Roman"/>
          <w:b/>
          <w:b/>
          <w:bCs/>
          <w:color w:val="000000"/>
          <w:kern w:val="2"/>
          <w:sz w:val="20"/>
          <w:szCs w:val="20"/>
          <w:lang w:val="ru-RU" w:eastAsia="zh-CN" w:bidi="ar-SA"/>
        </w:rPr>
      </w:pPr>
      <w:r>
        <w:rPr>
          <w:rFonts w:eastAsia="Times New Roman" w:cs="Times New Roman"/>
          <w:b/>
          <w:bCs/>
          <w:color w:val="000000"/>
          <w:kern w:val="2"/>
          <w:sz w:val="20"/>
          <w:szCs w:val="20"/>
          <w:lang w:val="ru-RU" w:eastAsia="zh-CN" w:bidi="ar-SA"/>
        </w:rPr>
        <w:t>13. Налоговая оговорка</w:t>
      </w:r>
    </w:p>
    <w:p>
      <w:pPr>
        <w:pStyle w:val="Style19"/>
        <w:numPr>
          <w:ilvl w:val="0"/>
          <w:numId w:val="0"/>
        </w:numPr>
        <w:spacing w:before="0" w:after="0"/>
        <w:jc w:val="both"/>
        <w:rPr>
          <w:rFonts w:ascii="Times New Roman" w:hAnsi="Times New Roman"/>
          <w:sz w:val="20"/>
          <w:szCs w:val="20"/>
        </w:rPr>
      </w:pPr>
      <w:r>
        <w:rPr>
          <w:rFonts w:eastAsia="Times New Roman" w:cs="Times New Roman"/>
          <w:b/>
          <w:bCs/>
          <w:color w:val="000000"/>
          <w:kern w:val="2"/>
          <w:sz w:val="20"/>
          <w:szCs w:val="20"/>
          <w:lang w:val="ru-RU" w:eastAsia="zh-CN" w:bidi="ar-SA"/>
        </w:rPr>
        <w:t xml:space="preserve">13.1. </w:t>
      </w:r>
      <w:r>
        <w:rPr>
          <w:rFonts w:eastAsia="Times New Roman" w:cs="Times New Roman"/>
          <w:b w:val="false"/>
          <w:bCs w:val="false"/>
          <w:color w:val="000000"/>
          <w:kern w:val="2"/>
          <w:sz w:val="20"/>
          <w:szCs w:val="20"/>
          <w:lang w:val="ru-RU" w:eastAsia="zh-CN" w:bidi="ar-SA"/>
        </w:rPr>
        <w:t>Поставщик гарантирует, что:</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располагает необходимыми трудовыми и материальными ресурсами для выполнения обязательств по Договору - помещением, оборудованием, транспортом и т.д.;</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привлекаемые им для выполнения обязательств по Договору третьи лица являются непосредственными исполнителями услуг (работ) и обладают достаточными трудовыми и материальными ресурсами;</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полностью отразит операции по Договору в первичных документах, бухгалтерской и налоговой отчетности, которая будет своевременно представлена в налоговый орган;</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по операциям Поставщика не будет признаков несформированного источника вычета НДС;</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по требованию Покупателя, налоговых органов или суда своевременно предоставит заверенные копии документов об операциях по Договору.</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b/>
          <w:bCs/>
          <w:color w:val="000000"/>
          <w:kern w:val="2"/>
          <w:sz w:val="20"/>
          <w:szCs w:val="20"/>
          <w:lang w:val="ru-RU" w:eastAsia="zh-CN" w:bidi="ar-SA"/>
        </w:rPr>
        <w:t xml:space="preserve">13.2. </w:t>
      </w:r>
      <w:r>
        <w:rPr>
          <w:rFonts w:eastAsia="Times New Roman" w:cs="Times New Roman"/>
          <w:color w:val="000000"/>
          <w:kern w:val="2"/>
          <w:sz w:val="20"/>
          <w:szCs w:val="20"/>
          <w:lang w:val="ru-RU" w:eastAsia="zh-CN" w:bidi="ar-SA"/>
        </w:rPr>
        <w:t>Поставщик гарантирует, что на момент заключения настоящего Договора, а также в течение всего срока его действия он:</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своевременно и в полном объеме уплачивает налоги, сборы и страховые взносы;</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ведет налоговый учет и составляет налоговую отчетность в соответствии с законодательством о налогах и сборах, своевременно и в полном объеме представляет налоговую отчетность;</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ведет бухгалтерский учет, составляет и представляет бухгалтерскую отчетность в соответствии с законодательством РФ и нормативными правовыми актами по бухгалтерскому учету;</w:t>
      </w:r>
    </w:p>
    <w:p>
      <w:pPr>
        <w:pStyle w:val="Style19"/>
        <w:numPr>
          <w:ilvl w:val="0"/>
          <w:numId w:val="0"/>
        </w:numPr>
        <w:spacing w:before="0" w:after="0"/>
        <w:jc w:val="both"/>
        <w:rPr>
          <w:rFonts w:ascii="Times New Roman" w:hAnsi="Times New Roman" w:eastAsia="Times New Roman" w:cs="Times New Roman"/>
          <w:color w:val="000000"/>
          <w:kern w:val="2"/>
          <w:sz w:val="20"/>
          <w:szCs w:val="20"/>
          <w:lang w:val="ru-RU" w:eastAsia="zh-CN" w:bidi="ar-SA"/>
        </w:rPr>
      </w:pPr>
      <w:r>
        <w:rPr>
          <w:rFonts w:eastAsia="Times New Roman" w:cs="Times New Roman"/>
          <w:color w:val="000000"/>
          <w:kern w:val="2"/>
          <w:sz w:val="20"/>
          <w:szCs w:val="20"/>
          <w:lang w:val="ru-RU" w:eastAsia="zh-CN" w:bidi="ar-SA"/>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pPr>
        <w:pStyle w:val="Style19"/>
        <w:numPr>
          <w:ilvl w:val="0"/>
          <w:numId w:val="0"/>
        </w:numPr>
        <w:spacing w:before="0" w:after="0"/>
        <w:jc w:val="both"/>
        <w:rPr>
          <w:rFonts w:ascii="Times New Roman" w:hAnsi="Times New Roman"/>
          <w:sz w:val="20"/>
          <w:szCs w:val="20"/>
        </w:rPr>
      </w:pPr>
      <w:r>
        <w:rPr>
          <w:b/>
          <w:bCs/>
          <w:sz w:val="20"/>
          <w:szCs w:val="20"/>
        </w:rPr>
        <w:t>13.3.</w:t>
      </w:r>
      <w:r>
        <w:rPr>
          <w:sz w:val="20"/>
          <w:szCs w:val="20"/>
        </w:rPr>
        <w:t xml:space="preserve"> Поставщик, в соответствии со ст. 406.1 ГК РФ, возмещает Покупателю все имущественные потери последнего, возникшие:</w:t>
      </w:r>
    </w:p>
    <w:p>
      <w:pPr>
        <w:pStyle w:val="Style19"/>
        <w:numPr>
          <w:ilvl w:val="0"/>
          <w:numId w:val="0"/>
        </w:numPr>
        <w:spacing w:before="0" w:after="0"/>
        <w:jc w:val="both"/>
        <w:rPr>
          <w:rFonts w:ascii="Times New Roman" w:hAnsi="Times New Roman"/>
          <w:sz w:val="20"/>
          <w:szCs w:val="20"/>
        </w:rPr>
      </w:pPr>
      <w:r>
        <w:rPr>
          <w:sz w:val="20"/>
          <w:szCs w:val="20"/>
        </w:rPr>
        <w:t>- в связи с предъявлением налоговыми органами требований об уплате задолженности, в результате отказа в применении налоговых вычетов по НДС по приобретенным Товарам, работам, услугам и (или) из-за исключения стоимости Товаров, работ, услуг из расходов для целей налогообложения по причинам, связанным с Поставщиком;</w:t>
      </w:r>
    </w:p>
    <w:p>
      <w:pPr>
        <w:pStyle w:val="Style19"/>
        <w:numPr>
          <w:ilvl w:val="0"/>
          <w:numId w:val="0"/>
        </w:numPr>
        <w:spacing w:before="0" w:after="0"/>
        <w:jc w:val="both"/>
        <w:rPr>
          <w:rFonts w:ascii="Times New Roman" w:hAnsi="Times New Roman"/>
          <w:sz w:val="20"/>
          <w:szCs w:val="20"/>
        </w:rPr>
      </w:pPr>
      <w:r>
        <w:rPr>
          <w:sz w:val="20"/>
          <w:szCs w:val="20"/>
        </w:rPr>
        <w:t>- в связи с предъявлением третьими лицами, купившими у Покупателя являющийся предметом настоящего Договора Товар требований о возмещении потерь и убытков в виде уплаченных ими налогов (пеней, штрафов), доначисленных налоговыми органами из-за отказа в применении налоговых вычетов по НДС и из-за исключения стоимости приобретенных Товаров из расходов для целей налогообложения по причинам, связанным с Поставщиком.</w:t>
      </w:r>
    </w:p>
    <w:p>
      <w:pPr>
        <w:pStyle w:val="Style19"/>
        <w:numPr>
          <w:ilvl w:val="0"/>
          <w:numId w:val="0"/>
        </w:numPr>
        <w:spacing w:before="0" w:after="0"/>
        <w:jc w:val="both"/>
        <w:rPr>
          <w:rFonts w:ascii="Times New Roman" w:hAnsi="Times New Roman"/>
          <w:sz w:val="20"/>
          <w:szCs w:val="20"/>
        </w:rPr>
      </w:pPr>
      <w:r>
        <w:rPr>
          <w:sz w:val="20"/>
          <w:szCs w:val="20"/>
        </w:rPr>
        <w:t>Достаточным основанием для предъявления Покупателем требования (претензии) о возмещении имущественных потерь, указанных в настоящем пункте, являются:</w:t>
      </w:r>
    </w:p>
    <w:p>
      <w:pPr>
        <w:pStyle w:val="Style19"/>
        <w:numPr>
          <w:ilvl w:val="0"/>
          <w:numId w:val="0"/>
        </w:numPr>
        <w:spacing w:before="0" w:after="0"/>
        <w:jc w:val="both"/>
        <w:rPr>
          <w:rFonts w:ascii="Times New Roman" w:hAnsi="Times New Roman"/>
          <w:sz w:val="20"/>
          <w:szCs w:val="20"/>
        </w:rPr>
      </w:pPr>
      <w:r>
        <w:rPr>
          <w:sz w:val="20"/>
          <w:szCs w:val="20"/>
        </w:rPr>
        <w:t>- письма ИФНС о наличии несформированного источника НДС с учетом уточненной НДС - декларации с отметкой налогового органа о принятии;</w:t>
      </w:r>
    </w:p>
    <w:p>
      <w:pPr>
        <w:pStyle w:val="Style19"/>
        <w:numPr>
          <w:ilvl w:val="0"/>
          <w:numId w:val="0"/>
        </w:numPr>
        <w:spacing w:before="0" w:after="0"/>
        <w:jc w:val="both"/>
        <w:rPr>
          <w:rFonts w:ascii="Times New Roman" w:hAnsi="Times New Roman"/>
          <w:sz w:val="20"/>
          <w:szCs w:val="20"/>
        </w:rPr>
      </w:pPr>
      <w:r>
        <w:rPr>
          <w:sz w:val="20"/>
          <w:szCs w:val="20"/>
        </w:rPr>
        <w:t>- акты камеральной или выездной проверки;</w:t>
      </w:r>
    </w:p>
    <w:p>
      <w:pPr>
        <w:pStyle w:val="Style19"/>
        <w:numPr>
          <w:ilvl w:val="0"/>
          <w:numId w:val="0"/>
        </w:numPr>
        <w:spacing w:before="0" w:after="0"/>
        <w:jc w:val="both"/>
        <w:rPr>
          <w:rFonts w:ascii="Times New Roman" w:hAnsi="Times New Roman"/>
          <w:sz w:val="20"/>
          <w:szCs w:val="20"/>
        </w:rPr>
      </w:pPr>
      <w:r>
        <w:rPr>
          <w:sz w:val="20"/>
          <w:szCs w:val="20"/>
        </w:rPr>
        <w:t>- решения по результатам камеральной или выездной проверки;</w:t>
      </w:r>
    </w:p>
    <w:p>
      <w:pPr>
        <w:pStyle w:val="Style19"/>
        <w:numPr>
          <w:ilvl w:val="0"/>
          <w:numId w:val="0"/>
        </w:numPr>
        <w:spacing w:before="0" w:after="0"/>
        <w:jc w:val="both"/>
        <w:rPr>
          <w:rFonts w:ascii="Times New Roman" w:hAnsi="Times New Roman"/>
          <w:sz w:val="20"/>
          <w:szCs w:val="20"/>
        </w:rPr>
      </w:pPr>
      <w:r>
        <w:rPr>
          <w:sz w:val="20"/>
          <w:szCs w:val="20"/>
        </w:rPr>
        <w:t>- вступившие в силу решения по результатам проверки;</w:t>
      </w:r>
    </w:p>
    <w:p>
      <w:pPr>
        <w:pStyle w:val="Style19"/>
        <w:numPr>
          <w:ilvl w:val="0"/>
          <w:numId w:val="0"/>
        </w:numPr>
        <w:spacing w:before="0" w:after="0"/>
        <w:jc w:val="both"/>
        <w:rPr>
          <w:rFonts w:ascii="Times New Roman" w:hAnsi="Times New Roman"/>
          <w:sz w:val="20"/>
          <w:szCs w:val="20"/>
        </w:rPr>
      </w:pPr>
      <w:r>
        <w:rPr>
          <w:sz w:val="20"/>
          <w:szCs w:val="20"/>
        </w:rPr>
        <w:t>- вступившие в силу решения суда по спору Покупателя с ИФНС;</w:t>
      </w:r>
    </w:p>
    <w:p>
      <w:pPr>
        <w:pStyle w:val="Style19"/>
        <w:numPr>
          <w:ilvl w:val="0"/>
          <w:numId w:val="0"/>
        </w:numPr>
        <w:spacing w:before="0" w:after="0"/>
        <w:jc w:val="both"/>
        <w:rPr>
          <w:rFonts w:ascii="Times New Roman" w:hAnsi="Times New Roman"/>
          <w:sz w:val="20"/>
          <w:szCs w:val="20"/>
        </w:rPr>
      </w:pPr>
      <w:r>
        <w:rPr>
          <w:sz w:val="20"/>
          <w:szCs w:val="20"/>
        </w:rPr>
        <w:t>- иные решения, требования или акты проверок налоговых органов.</w:t>
      </w:r>
    </w:p>
    <w:p>
      <w:pPr>
        <w:pStyle w:val="Style19"/>
        <w:numPr>
          <w:ilvl w:val="0"/>
          <w:numId w:val="0"/>
        </w:numPr>
        <w:spacing w:before="0" w:after="0"/>
        <w:jc w:val="both"/>
        <w:rPr>
          <w:rFonts w:ascii="Times New Roman" w:hAnsi="Times New Roman"/>
          <w:sz w:val="20"/>
          <w:szCs w:val="20"/>
        </w:rPr>
      </w:pPr>
      <w:r>
        <w:rPr>
          <w:sz w:val="20"/>
          <w:szCs w:val="20"/>
        </w:rPr>
        <w:t>Размер потерь определяется в зависимости от категории документа, являющегося основанием для предъявления требования (претензии) о возмещении имущественных потерь:</w:t>
      </w:r>
    </w:p>
    <w:p>
      <w:pPr>
        <w:pStyle w:val="Style19"/>
        <w:numPr>
          <w:ilvl w:val="0"/>
          <w:numId w:val="0"/>
        </w:numPr>
        <w:spacing w:before="0" w:after="0"/>
        <w:jc w:val="both"/>
        <w:rPr>
          <w:rFonts w:ascii="Times New Roman" w:hAnsi="Times New Roman"/>
          <w:sz w:val="20"/>
          <w:szCs w:val="20"/>
        </w:rPr>
      </w:pPr>
      <w:r>
        <w:rPr>
          <w:sz w:val="20"/>
          <w:szCs w:val="20"/>
        </w:rPr>
        <w:t>- в случае получения Покупателем письма ИФНС о наличии несформированного источника НДС – как сумма вычетов по НДС по счетам-фактурам Поставщика, от применения которых Покупатель отказался (в т.ч. при подаче уточненной декларации), а также уплаченных пеней;</w:t>
      </w:r>
    </w:p>
    <w:p>
      <w:pPr>
        <w:pStyle w:val="Style19"/>
        <w:numPr>
          <w:ilvl w:val="0"/>
          <w:numId w:val="0"/>
        </w:numPr>
        <w:spacing w:before="0" w:after="0"/>
        <w:jc w:val="both"/>
        <w:rPr>
          <w:rFonts w:ascii="Times New Roman" w:hAnsi="Times New Roman"/>
          <w:sz w:val="20"/>
          <w:szCs w:val="20"/>
        </w:rPr>
      </w:pPr>
      <w:r>
        <w:rPr>
          <w:sz w:val="20"/>
          <w:szCs w:val="20"/>
        </w:rPr>
        <w:t>- во всех остальных случаях – в размере сумм, уплаченных Покупателем на основании решений, требований или актов проверок налоговых органов.</w:t>
      </w:r>
    </w:p>
    <w:p>
      <w:pPr>
        <w:pStyle w:val="Style19"/>
        <w:numPr>
          <w:ilvl w:val="0"/>
          <w:numId w:val="0"/>
        </w:numPr>
        <w:spacing w:before="0" w:after="0"/>
        <w:jc w:val="both"/>
        <w:rPr>
          <w:rFonts w:ascii="Times New Roman" w:hAnsi="Times New Roman"/>
          <w:sz w:val="20"/>
          <w:szCs w:val="20"/>
        </w:rPr>
      </w:pPr>
      <w:r>
        <w:rPr>
          <w:sz w:val="20"/>
          <w:szCs w:val="20"/>
        </w:rPr>
        <w:t>При этом факт оспаривания этих налоговых доначислений в вышестоящем налоговом органе или в суде не влияет на обязанность Поставщика возместить потери.</w:t>
      </w:r>
    </w:p>
    <w:p>
      <w:pPr>
        <w:pStyle w:val="Style19"/>
        <w:numPr>
          <w:ilvl w:val="0"/>
          <w:numId w:val="0"/>
        </w:numPr>
        <w:spacing w:before="0" w:after="0"/>
        <w:jc w:val="both"/>
        <w:rPr>
          <w:rFonts w:ascii="Times New Roman" w:hAnsi="Times New Roman"/>
          <w:sz w:val="20"/>
          <w:szCs w:val="20"/>
        </w:rPr>
      </w:pPr>
      <w:r>
        <w:rPr>
          <w:sz w:val="20"/>
          <w:szCs w:val="20"/>
        </w:rPr>
        <w:t>Поставщик уплачивает (возмещает) Покупателю указанные имущественные потери в течение 5 рабочих дней с момента получения претензии.</w:t>
      </w:r>
    </w:p>
    <w:p>
      <w:pPr>
        <w:pStyle w:val="Style19"/>
        <w:numPr>
          <w:ilvl w:val="0"/>
          <w:numId w:val="0"/>
        </w:numPr>
        <w:spacing w:before="0" w:after="0"/>
        <w:jc w:val="both"/>
        <w:rPr>
          <w:rFonts w:ascii="Times New Roman" w:hAnsi="Times New Roman"/>
          <w:sz w:val="20"/>
          <w:szCs w:val="20"/>
        </w:rPr>
      </w:pPr>
      <w:r>
        <w:rPr>
          <w:sz w:val="20"/>
          <w:szCs w:val="20"/>
        </w:rPr>
        <w:t>Началом отсчета срока исковой давности по данному требованию будет являться дата вступления в силу решения или иного правового акта налогового органа, а равно – дата получения письма от органов ФНС о наличии несформированного источника НДС.</w:t>
      </w:r>
    </w:p>
    <w:p>
      <w:pPr>
        <w:pStyle w:val="Style19"/>
        <w:numPr>
          <w:ilvl w:val="0"/>
          <w:numId w:val="0"/>
        </w:numPr>
        <w:spacing w:before="0" w:after="0"/>
        <w:jc w:val="both"/>
        <w:rPr>
          <w:rFonts w:ascii="Times New Roman" w:hAnsi="Times New Roman"/>
          <w:sz w:val="20"/>
          <w:szCs w:val="20"/>
        </w:rPr>
      </w:pPr>
      <w:r>
        <w:rPr>
          <w:b/>
          <w:bCs/>
          <w:sz w:val="20"/>
          <w:szCs w:val="20"/>
        </w:rPr>
        <w:t xml:space="preserve">13.4. </w:t>
      </w:r>
      <w:r>
        <w:rPr>
          <w:sz w:val="20"/>
          <w:szCs w:val="20"/>
        </w:rPr>
        <w:t>Покупатель при получении от налогового органа информации о несформированном источнике для вычета НДС уведомляет об этом Поставщика, который в течение 3 (трех) рабочих дней обязуется устранить нарушения, в том числе путем подачи уточненной налоговой декларации по НДС.</w:t>
      </w:r>
    </w:p>
    <w:p>
      <w:pPr>
        <w:pStyle w:val="Style19"/>
        <w:numPr>
          <w:ilvl w:val="0"/>
          <w:numId w:val="0"/>
        </w:numPr>
        <w:tabs>
          <w:tab w:val="clear" w:pos="265"/>
          <w:tab w:val="left" w:pos="15" w:leader="none"/>
          <w:tab w:val="left" w:pos="561" w:leader="none"/>
        </w:tabs>
        <w:spacing w:before="0" w:after="0"/>
        <w:ind w:left="0" w:right="0" w:hanging="0"/>
        <w:jc w:val="both"/>
        <w:rPr/>
      </w:pPr>
      <w:r>
        <w:rPr>
          <w:sz w:val="20"/>
          <w:szCs w:val="20"/>
        </w:rPr>
        <w:t>Если Поставщик не устранит нарушения, он компенсирует Покупателю потери, возникшие из-за невозможности принять к вычету предъявленный Поставщиком НДС в порядке, предусмотренном настоящим Разделом.</w:t>
      </w:r>
    </w:p>
    <w:p>
      <w:pPr>
        <w:pStyle w:val="Style19"/>
        <w:numPr>
          <w:ilvl w:val="0"/>
          <w:numId w:val="0"/>
        </w:numPr>
        <w:tabs>
          <w:tab w:val="clear" w:pos="265"/>
          <w:tab w:val="left" w:pos="15" w:leader="none"/>
          <w:tab w:val="left" w:pos="561" w:leader="none"/>
        </w:tabs>
        <w:spacing w:before="0" w:after="0"/>
        <w:ind w:left="0" w:right="0" w:hanging="0"/>
        <w:jc w:val="both"/>
        <w:rPr>
          <w:rFonts w:ascii="Times New Roman" w:hAnsi="Times New Roman"/>
          <w:sz w:val="20"/>
          <w:szCs w:val="20"/>
        </w:rPr>
      </w:pPr>
      <w:r>
        <w:rPr>
          <w:sz w:val="20"/>
          <w:szCs w:val="20"/>
        </w:rPr>
      </w:r>
    </w:p>
    <w:p>
      <w:pPr>
        <w:pStyle w:val="Style19"/>
        <w:keepNext w:val="true"/>
        <w:numPr>
          <w:ilvl w:val="0"/>
          <w:numId w:val="0"/>
        </w:numPr>
        <w:tabs>
          <w:tab w:val="clear" w:pos="265"/>
          <w:tab w:val="left" w:pos="374" w:leader="none"/>
        </w:tabs>
        <w:spacing w:before="0" w:after="0"/>
        <w:ind w:left="0" w:right="0" w:firstLine="561"/>
        <w:jc w:val="center"/>
        <w:rPr/>
      </w:pPr>
      <w:r>
        <w:rPr>
          <w:b/>
          <w:bCs/>
          <w:color w:val="000000"/>
          <w:sz w:val="20"/>
          <w:szCs w:val="20"/>
        </w:rPr>
        <w:t>14. Юридические адреса и иные реквизиты Сторон</w:t>
      </w:r>
    </w:p>
    <w:p>
      <w:pPr>
        <w:pStyle w:val="Style19"/>
        <w:numPr>
          <w:ilvl w:val="0"/>
          <w:numId w:val="0"/>
        </w:numPr>
        <w:tabs>
          <w:tab w:val="clear" w:pos="265"/>
          <w:tab w:val="left" w:pos="374" w:leader="none"/>
        </w:tabs>
        <w:spacing w:before="0" w:after="0"/>
        <w:ind w:left="0" w:right="0" w:firstLine="561"/>
        <w:jc w:val="center"/>
        <w:rPr>
          <w:rFonts w:ascii="Times New Roman" w:hAnsi="Times New Roman"/>
          <w:b/>
          <w:b/>
          <w:bCs/>
          <w:color w:val="000000"/>
          <w:sz w:val="20"/>
          <w:szCs w:val="20"/>
        </w:rPr>
      </w:pPr>
      <w:r>
        <w:rPr>
          <w:b/>
          <w:bCs/>
          <w:color w:val="000000"/>
          <w:sz w:val="20"/>
          <w:szCs w:val="20"/>
        </w:rPr>
      </w:r>
    </w:p>
    <w:tbl>
      <w:tblPr>
        <w:tblW w:w="10320" w:type="dxa"/>
        <w:jc w:val="left"/>
        <w:tblInd w:w="6" w:type="dxa"/>
        <w:tblCellMar>
          <w:top w:w="0" w:type="dxa"/>
          <w:left w:w="108" w:type="dxa"/>
          <w:bottom w:w="0" w:type="dxa"/>
          <w:right w:w="108" w:type="dxa"/>
        </w:tblCellMar>
        <w:tblLook w:firstRow="1" w:noVBand="1" w:lastRow="0" w:firstColumn="1" w:lastColumn="0" w:noHBand="0" w:val="04a0"/>
      </w:tblPr>
      <w:tblGrid>
        <w:gridCol w:w="5039"/>
        <w:gridCol w:w="5280"/>
      </w:tblGrid>
      <w:tr>
        <w:trPr/>
        <w:tc>
          <w:tcPr>
            <w:tcW w:w="5039" w:type="dxa"/>
            <w:tcBorders/>
            <w:shd w:fill="auto" w:val="clear"/>
          </w:tcPr>
          <w:p>
            <w:pPr>
              <w:pStyle w:val="Normal"/>
              <w:spacing w:lineRule="auto" w:line="240"/>
              <w:rPr/>
            </w:pPr>
            <w:r>
              <w:rPr>
                <w:sz w:val="20"/>
                <w:szCs w:val="20"/>
                <w:u w:val="single"/>
              </w:rPr>
              <w:t>Поставщик:</w:t>
            </w:r>
          </w:p>
          <w:p>
            <w:pPr>
              <w:pStyle w:val="Normal"/>
              <w:spacing w:lineRule="auto" w:line="240"/>
              <w:rPr>
                <w:rFonts w:ascii="Times New Roman" w:hAnsi="Times New Roman"/>
                <w:sz w:val="20"/>
                <w:szCs w:val="20"/>
              </w:rPr>
            </w:pPr>
            <w:r>
              <w:rPr>
                <w:sz w:val="20"/>
                <w:szCs w:val="20"/>
              </w:rPr>
            </w:r>
          </w:p>
        </w:tc>
        <w:tc>
          <w:tcPr>
            <w:tcW w:w="5280" w:type="dxa"/>
            <w:tcBorders/>
            <w:shd w:fill="auto" w:val="clear"/>
          </w:tcPr>
          <w:p>
            <w:pPr>
              <w:pStyle w:val="Normal"/>
              <w:spacing w:lineRule="auto" w:line="240"/>
              <w:rPr/>
            </w:pPr>
            <w:r>
              <w:rPr>
                <w:sz w:val="20"/>
                <w:szCs w:val="20"/>
                <w:u w:val="single"/>
              </w:rPr>
              <w:t>Покупатель:</w:t>
            </w:r>
          </w:p>
          <w:p>
            <w:pPr>
              <w:pStyle w:val="Normal"/>
              <w:spacing w:lineRule="auto" w:line="240"/>
              <w:rPr/>
            </w:pPr>
            <w:r>
              <w:rPr>
                <w:sz w:val="20"/>
                <w:szCs w:val="20"/>
              </w:rPr>
              <w:t xml:space="preserve">Публичное акционерное общество «Машиностроительный завод имени М.И. Калинина, г. Екатеринбург» </w:t>
            </w:r>
          </w:p>
          <w:p>
            <w:pPr>
              <w:pStyle w:val="Normal"/>
              <w:spacing w:lineRule="auto" w:line="240"/>
              <w:rPr/>
            </w:pPr>
            <w:r>
              <w:rPr>
                <w:sz w:val="20"/>
                <w:szCs w:val="20"/>
              </w:rPr>
              <w:t>(ПАО «МЗИК»)</w:t>
            </w:r>
          </w:p>
        </w:tc>
      </w:tr>
      <w:tr>
        <w:trPr>
          <w:trHeight w:val="508" w:hRule="atLeast"/>
        </w:trPr>
        <w:tc>
          <w:tcPr>
            <w:tcW w:w="5039" w:type="dxa"/>
            <w:tcBorders/>
            <w:shd w:fill="auto" w:val="clear"/>
          </w:tcPr>
          <w:p>
            <w:pPr>
              <w:pStyle w:val="Normal"/>
              <w:spacing w:lineRule="auto" w:line="240"/>
              <w:rPr/>
            </w:pPr>
            <w:r>
              <w:rPr>
                <w:sz w:val="20"/>
                <w:szCs w:val="20"/>
                <w:u w:val="single"/>
              </w:rPr>
              <w:t>Юридический адрес</w:t>
            </w:r>
            <w:r>
              <w:rPr>
                <w:sz w:val="20"/>
                <w:szCs w:val="20"/>
              </w:rPr>
              <w:t xml:space="preserve">: </w:t>
            </w:r>
          </w:p>
          <w:p>
            <w:pPr>
              <w:pStyle w:val="Normal"/>
              <w:spacing w:lineRule="auto" w:line="240"/>
              <w:rPr>
                <w:rFonts w:ascii="Times New Roman" w:hAnsi="Times New Roman"/>
                <w:sz w:val="20"/>
                <w:szCs w:val="20"/>
              </w:rPr>
            </w:pPr>
            <w:r>
              <w:rPr>
                <w:sz w:val="20"/>
                <w:szCs w:val="20"/>
              </w:rPr>
            </w:r>
          </w:p>
        </w:tc>
        <w:tc>
          <w:tcPr>
            <w:tcW w:w="5280" w:type="dxa"/>
            <w:tcBorders/>
            <w:shd w:fill="auto" w:val="clear"/>
          </w:tcPr>
          <w:p>
            <w:pPr>
              <w:pStyle w:val="Normal"/>
              <w:spacing w:lineRule="auto" w:line="240"/>
              <w:rPr/>
            </w:pPr>
            <w:r>
              <w:rPr>
                <w:sz w:val="20"/>
                <w:szCs w:val="20"/>
                <w:u w:val="single"/>
              </w:rPr>
              <w:t>Юридический адрес</w:t>
            </w:r>
            <w:r>
              <w:rPr>
                <w:sz w:val="20"/>
                <w:szCs w:val="20"/>
              </w:rPr>
              <w:t xml:space="preserve">: 620091, Свердловская область, </w:t>
            </w:r>
          </w:p>
          <w:p>
            <w:pPr>
              <w:pStyle w:val="Normal"/>
              <w:spacing w:lineRule="auto" w:line="240"/>
              <w:rPr/>
            </w:pPr>
            <w:r>
              <w:rPr>
                <w:sz w:val="20"/>
                <w:szCs w:val="20"/>
              </w:rPr>
              <w:t>г. Екатеринбург, пр. Космонавтов, стр. 18</w:t>
            </w:r>
          </w:p>
        </w:tc>
      </w:tr>
      <w:tr>
        <w:trPr>
          <w:trHeight w:val="479" w:hRule="atLeast"/>
        </w:trPr>
        <w:tc>
          <w:tcPr>
            <w:tcW w:w="5039" w:type="dxa"/>
            <w:tcBorders/>
            <w:shd w:fill="auto" w:val="clear"/>
          </w:tcPr>
          <w:p>
            <w:pPr>
              <w:pStyle w:val="Normal"/>
              <w:spacing w:lineRule="auto" w:line="240"/>
              <w:rPr/>
            </w:pPr>
            <w:r>
              <w:rPr>
                <w:sz w:val="20"/>
                <w:szCs w:val="20"/>
                <w:u w:val="single"/>
              </w:rPr>
              <w:t>Почтовый адрес</w:t>
            </w:r>
            <w:r>
              <w:rPr>
                <w:sz w:val="20"/>
                <w:szCs w:val="20"/>
              </w:rPr>
              <w:t xml:space="preserve">: </w:t>
            </w:r>
          </w:p>
        </w:tc>
        <w:tc>
          <w:tcPr>
            <w:tcW w:w="5280" w:type="dxa"/>
            <w:tcBorders/>
            <w:shd w:fill="auto" w:val="clear"/>
          </w:tcPr>
          <w:p>
            <w:pPr>
              <w:pStyle w:val="Normal"/>
              <w:spacing w:lineRule="auto" w:line="240"/>
              <w:rPr/>
            </w:pPr>
            <w:r>
              <w:rPr>
                <w:sz w:val="20"/>
                <w:szCs w:val="20"/>
                <w:u w:val="single"/>
              </w:rPr>
              <w:t>Почтовый адрес</w:t>
            </w:r>
            <w:r>
              <w:rPr>
                <w:sz w:val="20"/>
                <w:szCs w:val="20"/>
              </w:rPr>
              <w:t xml:space="preserve">: 620091, Свердловская область, </w:t>
            </w:r>
          </w:p>
          <w:p>
            <w:pPr>
              <w:pStyle w:val="Normal"/>
              <w:spacing w:lineRule="auto" w:line="240"/>
              <w:rPr/>
            </w:pPr>
            <w:r>
              <w:rPr>
                <w:sz w:val="20"/>
                <w:szCs w:val="20"/>
              </w:rPr>
              <w:t>г. Екатеринбург, пр. Космонавтов, стр. 18</w:t>
            </w:r>
          </w:p>
        </w:tc>
      </w:tr>
      <w:tr>
        <w:trPr>
          <w:trHeight w:val="252" w:hRule="atLeast"/>
        </w:trPr>
        <w:tc>
          <w:tcPr>
            <w:tcW w:w="5039" w:type="dxa"/>
            <w:tcBorders/>
            <w:shd w:fill="auto" w:val="clear"/>
          </w:tcPr>
          <w:p>
            <w:pPr>
              <w:pStyle w:val="Normal"/>
              <w:spacing w:lineRule="auto" w:line="240"/>
              <w:rPr/>
            </w:pPr>
            <w:r>
              <w:rPr>
                <w:sz w:val="20"/>
                <w:szCs w:val="20"/>
              </w:rPr>
              <w:t xml:space="preserve">Факс: </w:t>
            </w:r>
          </w:p>
        </w:tc>
        <w:tc>
          <w:tcPr>
            <w:tcW w:w="5280" w:type="dxa"/>
            <w:tcBorders/>
            <w:shd w:fill="auto" w:val="clear"/>
          </w:tcPr>
          <w:p>
            <w:pPr>
              <w:pStyle w:val="Normal"/>
              <w:spacing w:lineRule="auto" w:line="240"/>
              <w:rPr/>
            </w:pPr>
            <w:r>
              <w:rPr>
                <w:sz w:val="20"/>
                <w:szCs w:val="20"/>
              </w:rPr>
              <w:t>Телефоны: 8 (343) 329-55-75, 329-53-10</w:t>
            </w:r>
          </w:p>
        </w:tc>
      </w:tr>
      <w:tr>
        <w:trPr>
          <w:trHeight w:val="239" w:hRule="atLeast"/>
        </w:trPr>
        <w:tc>
          <w:tcPr>
            <w:tcW w:w="5039" w:type="dxa"/>
            <w:tcBorders/>
            <w:shd w:fill="auto" w:val="clear"/>
          </w:tcPr>
          <w:p>
            <w:pPr>
              <w:pStyle w:val="Normal"/>
              <w:spacing w:lineRule="auto" w:line="240"/>
              <w:rPr/>
            </w:pPr>
            <w:r>
              <w:rPr>
                <w:sz w:val="20"/>
                <w:szCs w:val="20"/>
              </w:rPr>
              <w:t xml:space="preserve">Телефоны: </w:t>
            </w:r>
          </w:p>
        </w:tc>
        <w:tc>
          <w:tcPr>
            <w:tcW w:w="5280" w:type="dxa"/>
            <w:tcBorders/>
            <w:shd w:fill="auto" w:val="clear"/>
          </w:tcPr>
          <w:p>
            <w:pPr>
              <w:pStyle w:val="Normal"/>
              <w:spacing w:lineRule="auto" w:line="240"/>
              <w:rPr/>
            </w:pPr>
            <w:r>
              <w:rPr>
                <w:sz w:val="20"/>
                <w:szCs w:val="20"/>
                <w:lang w:val="ru-RU"/>
              </w:rPr>
              <w:t>Е</w:t>
            </w:r>
            <w:r>
              <w:rPr>
                <w:sz w:val="20"/>
                <w:szCs w:val="20"/>
                <w:lang w:val="en-US"/>
              </w:rPr>
              <w:t xml:space="preserve">-mail: zik060@zik.ru, </w:t>
            </w:r>
            <w:hyperlink r:id="rId2">
              <w:r>
                <w:rPr>
                  <w:rStyle w:val="Style5"/>
                  <w:sz w:val="20"/>
                  <w:szCs w:val="20"/>
                  <w:lang w:val="en-US"/>
                </w:rPr>
                <w:t>zakupki@zik.ru</w:t>
              </w:r>
            </w:hyperlink>
          </w:p>
          <w:p>
            <w:pPr>
              <w:pStyle w:val="Normal"/>
              <w:spacing w:lineRule="auto" w:line="240"/>
              <w:rPr/>
            </w:pPr>
            <w:r>
              <w:rPr>
                <w:sz w:val="20"/>
                <w:szCs w:val="20"/>
                <w:lang w:val="ru-RU"/>
              </w:rPr>
              <w:t>Контактное лицо: Петрова О.В.</w:t>
            </w:r>
          </w:p>
          <w:p>
            <w:pPr>
              <w:pStyle w:val="Normal"/>
              <w:spacing w:lineRule="auto" w:line="240"/>
              <w:rPr/>
            </w:pPr>
            <w:r>
              <w:rPr>
                <w:sz w:val="20"/>
                <w:szCs w:val="20"/>
                <w:lang w:val="ru-RU"/>
              </w:rPr>
              <w:t>Телефон: +7 (343)327-62-84</w:t>
            </w:r>
          </w:p>
        </w:tc>
      </w:tr>
      <w:tr>
        <w:trPr>
          <w:trHeight w:val="252" w:hRule="atLeast"/>
        </w:trPr>
        <w:tc>
          <w:tcPr>
            <w:tcW w:w="5039" w:type="dxa"/>
            <w:tcBorders/>
            <w:shd w:fill="auto" w:val="clear"/>
          </w:tcPr>
          <w:p>
            <w:pPr>
              <w:pStyle w:val="Normal"/>
              <w:spacing w:lineRule="auto" w:line="240"/>
              <w:rPr/>
            </w:pPr>
            <w:r>
              <w:rPr>
                <w:sz w:val="20"/>
                <w:szCs w:val="20"/>
                <w:lang w:val="en-US"/>
              </w:rPr>
              <w:t xml:space="preserve">e-mail: </w:t>
            </w:r>
          </w:p>
          <w:p>
            <w:pPr>
              <w:pStyle w:val="Normal"/>
              <w:spacing w:lineRule="auto" w:line="240"/>
              <w:rPr/>
            </w:pPr>
            <w:r>
              <w:rPr>
                <w:sz w:val="20"/>
                <w:szCs w:val="20"/>
                <w:lang w:val="ru-RU"/>
              </w:rPr>
              <w:t>Контактное лицо:</w:t>
            </w:r>
          </w:p>
          <w:p>
            <w:pPr>
              <w:pStyle w:val="Normal"/>
              <w:spacing w:lineRule="auto" w:line="240"/>
              <w:rPr/>
            </w:pPr>
            <w:r>
              <w:rPr>
                <w:sz w:val="20"/>
                <w:szCs w:val="20"/>
                <w:lang w:val="ru-RU"/>
              </w:rPr>
              <w:t>Телефон:</w:t>
            </w:r>
          </w:p>
        </w:tc>
        <w:tc>
          <w:tcPr>
            <w:tcW w:w="5280" w:type="dxa"/>
            <w:tcBorders/>
            <w:shd w:fill="auto" w:val="clear"/>
          </w:tcPr>
          <w:p>
            <w:pPr>
              <w:pStyle w:val="Normal"/>
              <w:tabs>
                <w:tab w:val="clear" w:pos="265"/>
                <w:tab w:val="left" w:pos="1276" w:leader="none"/>
              </w:tabs>
              <w:spacing w:lineRule="auto" w:line="240"/>
              <w:rPr/>
            </w:pPr>
            <w:r>
              <w:rPr>
                <w:color w:val="000000"/>
                <w:sz w:val="20"/>
                <w:szCs w:val="20"/>
              </w:rPr>
              <w:t>ИНН  6663003800</w:t>
            </w:r>
            <w:r>
              <w:rPr>
                <w:color w:val="000000"/>
                <w:sz w:val="20"/>
                <w:szCs w:val="20"/>
                <w:lang w:val="en-US"/>
              </w:rPr>
              <w:t xml:space="preserve"> </w:t>
            </w:r>
            <w:r>
              <w:rPr>
                <w:color w:val="000000"/>
                <w:sz w:val="20"/>
                <w:szCs w:val="20"/>
              </w:rPr>
              <w:t>КПП 997450001</w:t>
            </w:r>
          </w:p>
        </w:tc>
      </w:tr>
      <w:tr>
        <w:trPr>
          <w:trHeight w:val="239" w:hRule="atLeast"/>
        </w:trPr>
        <w:tc>
          <w:tcPr>
            <w:tcW w:w="5039" w:type="dxa"/>
            <w:tcBorders/>
            <w:shd w:fill="auto" w:val="clear"/>
          </w:tcPr>
          <w:p>
            <w:pPr>
              <w:pStyle w:val="Normal"/>
              <w:tabs>
                <w:tab w:val="clear" w:pos="265"/>
                <w:tab w:val="left" w:pos="1276" w:leader="none"/>
              </w:tabs>
              <w:spacing w:lineRule="auto" w:line="240"/>
              <w:rPr/>
            </w:pPr>
            <w:r>
              <w:rPr>
                <w:color w:val="000000"/>
                <w:sz w:val="20"/>
                <w:szCs w:val="20"/>
              </w:rPr>
              <w:t xml:space="preserve">ИНН </w:t>
            </w:r>
            <w:r>
              <w:rPr>
                <w:color w:val="000000"/>
                <w:sz w:val="20"/>
                <w:szCs w:val="20"/>
                <w:lang w:val="en-US"/>
              </w:rPr>
              <w:t xml:space="preserve">____________ </w:t>
            </w:r>
            <w:r>
              <w:rPr>
                <w:color w:val="000000"/>
                <w:sz w:val="20"/>
                <w:szCs w:val="20"/>
              </w:rPr>
              <w:t xml:space="preserve">КПП </w:t>
            </w:r>
            <w:r>
              <w:rPr>
                <w:color w:val="000000"/>
                <w:sz w:val="20"/>
                <w:szCs w:val="20"/>
                <w:lang w:val="en-US"/>
              </w:rPr>
              <w:t>_________________</w:t>
            </w:r>
          </w:p>
        </w:tc>
        <w:tc>
          <w:tcPr>
            <w:tcW w:w="5280" w:type="dxa"/>
            <w:tcBorders/>
            <w:shd w:fill="auto" w:val="clear"/>
          </w:tcPr>
          <w:p>
            <w:pPr>
              <w:pStyle w:val="Normal"/>
              <w:tabs>
                <w:tab w:val="clear" w:pos="265"/>
                <w:tab w:val="left" w:pos="1276" w:leader="none"/>
              </w:tabs>
              <w:spacing w:lineRule="auto" w:line="240"/>
              <w:rPr/>
            </w:pPr>
            <w:r>
              <w:rPr>
                <w:sz w:val="20"/>
                <w:szCs w:val="20"/>
              </w:rPr>
              <w:t>ОКПО 07509511</w:t>
            </w:r>
          </w:p>
        </w:tc>
      </w:tr>
      <w:tr>
        <w:trPr>
          <w:trHeight w:val="239" w:hRule="atLeast"/>
        </w:trPr>
        <w:tc>
          <w:tcPr>
            <w:tcW w:w="5039" w:type="dxa"/>
            <w:tcBorders/>
            <w:shd w:fill="auto" w:val="clear"/>
          </w:tcPr>
          <w:p>
            <w:pPr>
              <w:pStyle w:val="Normal"/>
              <w:tabs>
                <w:tab w:val="clear" w:pos="265"/>
                <w:tab w:val="left" w:pos="1276" w:leader="none"/>
              </w:tabs>
              <w:spacing w:lineRule="auto" w:line="240"/>
              <w:rPr/>
            </w:pPr>
            <w:r>
              <w:rPr>
                <w:sz w:val="20"/>
                <w:szCs w:val="20"/>
              </w:rPr>
              <w:t>ОКПО</w:t>
            </w:r>
          </w:p>
        </w:tc>
        <w:tc>
          <w:tcPr>
            <w:tcW w:w="5280" w:type="dxa"/>
            <w:tcBorders/>
            <w:shd w:fill="auto" w:val="clear"/>
          </w:tcPr>
          <w:p>
            <w:pPr>
              <w:pStyle w:val="Normal"/>
              <w:tabs>
                <w:tab w:val="clear" w:pos="265"/>
                <w:tab w:val="left" w:pos="1276" w:leader="none"/>
              </w:tabs>
              <w:spacing w:lineRule="auto" w:line="240"/>
              <w:rPr/>
            </w:pPr>
            <w:r>
              <w:rPr>
                <w:sz w:val="20"/>
                <w:szCs w:val="20"/>
              </w:rPr>
              <w:t xml:space="preserve">р/сч  </w:t>
            </w:r>
            <w:r>
              <w:rPr>
                <w:color w:val="000000"/>
                <w:sz w:val="20"/>
                <w:szCs w:val="20"/>
              </w:rPr>
              <w:t>40702810316110101593</w:t>
            </w:r>
          </w:p>
        </w:tc>
      </w:tr>
      <w:tr>
        <w:trPr>
          <w:trHeight w:val="161" w:hRule="atLeast"/>
        </w:trPr>
        <w:tc>
          <w:tcPr>
            <w:tcW w:w="5039" w:type="dxa"/>
            <w:tcBorders/>
            <w:shd w:fill="auto" w:val="clear"/>
          </w:tcPr>
          <w:p>
            <w:pPr>
              <w:pStyle w:val="Normal"/>
              <w:tabs>
                <w:tab w:val="clear" w:pos="265"/>
                <w:tab w:val="left" w:pos="1276" w:leader="none"/>
              </w:tabs>
              <w:spacing w:lineRule="auto" w:line="240"/>
              <w:rPr/>
            </w:pPr>
            <w:r>
              <w:rPr>
                <w:sz w:val="20"/>
                <w:szCs w:val="20"/>
              </w:rPr>
              <w:t xml:space="preserve">р/сч  </w:t>
            </w:r>
            <w:r>
              <w:rPr>
                <w:color w:val="000000"/>
                <w:sz w:val="20"/>
                <w:szCs w:val="20"/>
                <w:lang w:val="en-US"/>
              </w:rPr>
              <w:t>________________________</w:t>
            </w:r>
          </w:p>
        </w:tc>
        <w:tc>
          <w:tcPr>
            <w:tcW w:w="5280" w:type="dxa"/>
            <w:tcBorders/>
            <w:shd w:fill="auto" w:val="clear"/>
          </w:tcPr>
          <w:p>
            <w:pPr>
              <w:pStyle w:val="Normal"/>
              <w:tabs>
                <w:tab w:val="clear" w:pos="265"/>
                <w:tab w:val="left" w:pos="1276" w:leader="none"/>
              </w:tabs>
              <w:spacing w:lineRule="auto" w:line="240"/>
              <w:rPr/>
            </w:pPr>
            <w:r>
              <w:rPr>
                <w:sz w:val="20"/>
                <w:szCs w:val="20"/>
              </w:rPr>
              <w:t>к/сч  30101810500000000674</w:t>
            </w:r>
          </w:p>
          <w:p>
            <w:pPr>
              <w:pStyle w:val="Normal"/>
              <w:tabs>
                <w:tab w:val="clear" w:pos="265"/>
                <w:tab w:val="left" w:pos="1276" w:leader="none"/>
              </w:tabs>
              <w:spacing w:lineRule="auto" w:line="240"/>
              <w:rPr/>
            </w:pPr>
            <w:r>
              <w:rPr>
                <w:sz w:val="20"/>
                <w:szCs w:val="20"/>
              </w:rPr>
              <w:t>БИК 046577674</w:t>
            </w:r>
          </w:p>
        </w:tc>
      </w:tr>
      <w:tr>
        <w:trPr>
          <w:trHeight w:val="239" w:hRule="atLeast"/>
        </w:trPr>
        <w:tc>
          <w:tcPr>
            <w:tcW w:w="5039" w:type="dxa"/>
            <w:tcBorders/>
            <w:shd w:fill="auto" w:val="clear"/>
          </w:tcPr>
          <w:p>
            <w:pPr>
              <w:pStyle w:val="Normal"/>
              <w:tabs>
                <w:tab w:val="clear" w:pos="265"/>
                <w:tab w:val="left" w:pos="1276" w:leader="none"/>
              </w:tabs>
              <w:spacing w:lineRule="auto" w:line="240"/>
              <w:rPr/>
            </w:pPr>
            <w:r>
              <w:rPr>
                <w:sz w:val="20"/>
                <w:szCs w:val="20"/>
              </w:rPr>
              <w:t xml:space="preserve">к/сч  </w:t>
            </w:r>
            <w:r>
              <w:rPr>
                <w:sz w:val="20"/>
                <w:szCs w:val="20"/>
                <w:lang w:val="en-US"/>
              </w:rPr>
              <w:t>________________________</w:t>
            </w:r>
          </w:p>
        </w:tc>
        <w:tc>
          <w:tcPr>
            <w:tcW w:w="5280" w:type="dxa"/>
            <w:tcBorders/>
            <w:shd w:fill="auto" w:val="clear"/>
          </w:tcPr>
          <w:p>
            <w:pPr>
              <w:pStyle w:val="Normal"/>
              <w:tabs>
                <w:tab w:val="clear" w:pos="265"/>
                <w:tab w:val="left" w:pos="1276" w:leader="none"/>
              </w:tabs>
              <w:spacing w:lineRule="auto" w:line="240"/>
              <w:rPr/>
            </w:pPr>
            <w:r>
              <w:rPr>
                <w:sz w:val="20"/>
                <w:szCs w:val="20"/>
                <w:u w:val="single"/>
              </w:rPr>
              <w:t>Банк</w:t>
            </w:r>
            <w:r>
              <w:rPr>
                <w:sz w:val="20"/>
                <w:szCs w:val="20"/>
              </w:rPr>
              <w:t>: Уральский банк ПАО Сбербанк г. Екатеринбург</w:t>
            </w:r>
          </w:p>
        </w:tc>
      </w:tr>
      <w:tr>
        <w:trPr>
          <w:trHeight w:val="199" w:hRule="atLeast"/>
        </w:trPr>
        <w:tc>
          <w:tcPr>
            <w:tcW w:w="5039" w:type="dxa"/>
            <w:tcBorders/>
            <w:shd w:fill="auto" w:val="clear"/>
          </w:tcPr>
          <w:p>
            <w:pPr>
              <w:pStyle w:val="Normal"/>
              <w:spacing w:lineRule="auto" w:line="240"/>
              <w:rPr/>
            </w:pPr>
            <w:r>
              <w:rPr>
                <w:sz w:val="20"/>
                <w:szCs w:val="20"/>
              </w:rPr>
              <w:t xml:space="preserve">БИК </w:t>
            </w:r>
          </w:p>
        </w:tc>
        <w:tc>
          <w:tcPr>
            <w:tcW w:w="5280" w:type="dxa"/>
            <w:tcBorders/>
            <w:shd w:fill="auto" w:val="clear"/>
          </w:tcPr>
          <w:p>
            <w:pPr>
              <w:pStyle w:val="Normal"/>
              <w:tabs>
                <w:tab w:val="clear" w:pos="265"/>
                <w:tab w:val="left" w:pos="1276" w:leader="none"/>
              </w:tabs>
              <w:spacing w:lineRule="auto" w:line="240"/>
              <w:rPr>
                <w:sz w:val="20"/>
                <w:szCs w:val="20"/>
              </w:rPr>
            </w:pPr>
            <w:r>
              <w:rPr>
                <w:sz w:val="20"/>
                <w:szCs w:val="20"/>
              </w:rPr>
            </w:r>
          </w:p>
        </w:tc>
      </w:tr>
      <w:tr>
        <w:trPr>
          <w:trHeight w:val="144" w:hRule="atLeast"/>
        </w:trPr>
        <w:tc>
          <w:tcPr>
            <w:tcW w:w="5039" w:type="dxa"/>
            <w:tcBorders/>
            <w:shd w:fill="auto" w:val="clear"/>
          </w:tcPr>
          <w:p>
            <w:pPr>
              <w:pStyle w:val="Normal"/>
              <w:spacing w:lineRule="auto" w:line="240"/>
              <w:rPr/>
            </w:pPr>
            <w:r>
              <w:rPr>
                <w:sz w:val="20"/>
                <w:szCs w:val="20"/>
              </w:rPr>
              <w:t xml:space="preserve">Банк: </w:t>
            </w:r>
          </w:p>
        </w:tc>
        <w:tc>
          <w:tcPr>
            <w:tcW w:w="5280" w:type="dxa"/>
            <w:tcBorders/>
            <w:shd w:fill="auto" w:val="clear"/>
          </w:tcPr>
          <w:p>
            <w:pPr>
              <w:pStyle w:val="Normal"/>
              <w:spacing w:lineRule="auto" w:line="240"/>
              <w:rPr>
                <w:rFonts w:ascii="Times New Roman" w:hAnsi="Times New Roman"/>
                <w:sz w:val="20"/>
                <w:szCs w:val="20"/>
                <w:lang w:val="ru-RU"/>
              </w:rPr>
            </w:pPr>
            <w:r>
              <w:rPr>
                <w:sz w:val="20"/>
                <w:szCs w:val="20"/>
                <w:lang w:val="ru-RU"/>
              </w:rPr>
            </w:r>
          </w:p>
        </w:tc>
      </w:tr>
      <w:tr>
        <w:trPr>
          <w:trHeight w:val="144" w:hRule="atLeast"/>
        </w:trPr>
        <w:tc>
          <w:tcPr>
            <w:tcW w:w="5039" w:type="dxa"/>
            <w:tcBorders/>
            <w:shd w:fill="auto" w:val="clear"/>
          </w:tcPr>
          <w:p>
            <w:pPr>
              <w:pStyle w:val="Normal"/>
              <w:spacing w:lineRule="auto" w:line="240"/>
              <w:rPr>
                <w:rFonts w:ascii="Times New Roman" w:hAnsi="Times New Roman"/>
                <w:sz w:val="20"/>
                <w:szCs w:val="20"/>
              </w:rPr>
            </w:pPr>
            <w:r>
              <w:rPr>
                <w:sz w:val="20"/>
                <w:szCs w:val="20"/>
              </w:rPr>
            </w:r>
          </w:p>
        </w:tc>
        <w:tc>
          <w:tcPr>
            <w:tcW w:w="5280" w:type="dxa"/>
            <w:tcBorders/>
            <w:shd w:fill="auto" w:val="clear"/>
          </w:tcPr>
          <w:p>
            <w:pPr>
              <w:pStyle w:val="Normal"/>
              <w:spacing w:lineRule="auto" w:line="240"/>
              <w:rPr>
                <w:rFonts w:ascii="Times New Roman" w:hAnsi="Times New Roman"/>
                <w:sz w:val="20"/>
                <w:szCs w:val="20"/>
                <w:lang w:val="ru-RU"/>
              </w:rPr>
            </w:pPr>
            <w:r>
              <w:rPr>
                <w:sz w:val="20"/>
                <w:szCs w:val="20"/>
                <w:lang w:val="ru-RU"/>
              </w:rPr>
            </w:r>
          </w:p>
        </w:tc>
      </w:tr>
      <w:tr>
        <w:trPr>
          <w:trHeight w:val="311" w:hRule="atLeast"/>
        </w:trPr>
        <w:tc>
          <w:tcPr>
            <w:tcW w:w="5039" w:type="dxa"/>
            <w:tcBorders/>
            <w:shd w:fill="auto" w:val="clear"/>
          </w:tcPr>
          <w:p>
            <w:pPr>
              <w:pStyle w:val="Normal"/>
              <w:tabs>
                <w:tab w:val="clear" w:pos="265"/>
                <w:tab w:val="left" w:pos="1276" w:leader="none"/>
              </w:tabs>
              <w:snapToGrid w:val="false"/>
              <w:rPr/>
            </w:pPr>
            <w:r>
              <w:rPr>
                <w:b/>
                <w:color w:val="000000"/>
                <w:sz w:val="20"/>
                <w:szCs w:val="20"/>
              </w:rPr>
              <w:t>От Поставщика:</w:t>
            </w:r>
          </w:p>
          <w:p>
            <w:pPr>
              <w:pStyle w:val="Normal"/>
              <w:tabs>
                <w:tab w:val="clear" w:pos="265"/>
                <w:tab w:val="left" w:pos="1276" w:leader="none"/>
              </w:tabs>
              <w:rPr>
                <w:rFonts w:ascii="Times New Roman" w:hAnsi="Times New Roman"/>
                <w:sz w:val="20"/>
                <w:szCs w:val="20"/>
              </w:rPr>
            </w:pPr>
            <w:r>
              <w:rPr>
                <w:sz w:val="20"/>
                <w:szCs w:val="20"/>
              </w:rPr>
            </w:r>
          </w:p>
          <w:p>
            <w:pPr>
              <w:pStyle w:val="Normal"/>
              <w:tabs>
                <w:tab w:val="clear" w:pos="265"/>
                <w:tab w:val="left" w:pos="1276" w:leader="none"/>
              </w:tabs>
              <w:rPr>
                <w:rFonts w:ascii="Times New Roman" w:hAnsi="Times New Roman"/>
                <w:sz w:val="20"/>
                <w:szCs w:val="20"/>
              </w:rPr>
            </w:pPr>
            <w:r>
              <w:rPr>
                <w:sz w:val="20"/>
                <w:szCs w:val="20"/>
              </w:rPr>
            </w:r>
          </w:p>
          <w:p>
            <w:pPr>
              <w:pStyle w:val="Normal"/>
              <w:tabs>
                <w:tab w:val="clear" w:pos="265"/>
                <w:tab w:val="left" w:pos="1276" w:leader="none"/>
              </w:tabs>
              <w:rPr/>
            </w:pPr>
            <w:r>
              <w:rPr>
                <w:sz w:val="20"/>
                <w:szCs w:val="20"/>
              </w:rPr>
              <w:t>__________________ /_________________________/</w:t>
            </w:r>
          </w:p>
          <w:p>
            <w:pPr>
              <w:pStyle w:val="Normal"/>
              <w:tabs>
                <w:tab w:val="clear" w:pos="265"/>
                <w:tab w:val="left" w:pos="1276" w:leader="none"/>
              </w:tabs>
              <w:rPr/>
            </w:pPr>
            <w:r>
              <w:rPr>
                <w:sz w:val="20"/>
                <w:szCs w:val="20"/>
              </w:rPr>
              <w:t>М.П.</w:t>
            </w:r>
          </w:p>
        </w:tc>
        <w:tc>
          <w:tcPr>
            <w:tcW w:w="5280" w:type="dxa"/>
            <w:tcBorders/>
            <w:shd w:fill="auto" w:val="clear"/>
          </w:tcPr>
          <w:p>
            <w:pPr>
              <w:pStyle w:val="Normal"/>
              <w:tabs>
                <w:tab w:val="clear" w:pos="265"/>
                <w:tab w:val="left" w:pos="1276" w:leader="none"/>
              </w:tabs>
              <w:snapToGrid w:val="false"/>
              <w:rPr/>
            </w:pPr>
            <w:r>
              <w:rPr>
                <w:b/>
                <w:color w:val="000000"/>
                <w:sz w:val="20"/>
                <w:szCs w:val="20"/>
              </w:rPr>
              <w:t>От Покупат</w:t>
            </w:r>
            <w:r>
              <w:rPr>
                <w:b/>
                <w:color w:val="000000"/>
                <w:sz w:val="20"/>
                <w:szCs w:val="20"/>
                <w:shd w:fill="auto" w:val="clear"/>
              </w:rPr>
              <w:t>еля:</w:t>
            </w:r>
          </w:p>
          <w:p>
            <w:pPr>
              <w:pStyle w:val="Normal"/>
              <w:tabs>
                <w:tab w:val="clear" w:pos="265"/>
                <w:tab w:val="left" w:pos="1276" w:leader="none"/>
              </w:tabs>
              <w:rPr>
                <w:rFonts w:ascii="Times New Roman" w:hAnsi="Times New Roman"/>
                <w:sz w:val="20"/>
                <w:szCs w:val="20"/>
              </w:rPr>
            </w:pPr>
            <w:r>
              <w:rPr>
                <w:sz w:val="20"/>
                <w:szCs w:val="20"/>
              </w:rPr>
            </w:r>
          </w:p>
          <w:p>
            <w:pPr>
              <w:pStyle w:val="Normal"/>
              <w:tabs>
                <w:tab w:val="clear" w:pos="265"/>
                <w:tab w:val="left" w:pos="1276" w:leader="none"/>
              </w:tabs>
              <w:rPr>
                <w:rFonts w:ascii="Times New Roman" w:hAnsi="Times New Roman"/>
                <w:sz w:val="20"/>
                <w:szCs w:val="20"/>
              </w:rPr>
            </w:pPr>
            <w:r>
              <w:rPr>
                <w:sz w:val="20"/>
                <w:szCs w:val="20"/>
              </w:rPr>
            </w:r>
          </w:p>
          <w:p>
            <w:pPr>
              <w:pStyle w:val="Normal"/>
              <w:tabs>
                <w:tab w:val="clear" w:pos="265"/>
                <w:tab w:val="left" w:pos="1276" w:leader="none"/>
              </w:tabs>
              <w:rPr/>
            </w:pPr>
            <w:r>
              <w:rPr>
                <w:sz w:val="20"/>
                <w:szCs w:val="20"/>
              </w:rPr>
              <w:t>_______________________ /Дементьев М.С./</w:t>
            </w:r>
          </w:p>
          <w:p>
            <w:pPr>
              <w:pStyle w:val="Normal"/>
              <w:tabs>
                <w:tab w:val="clear" w:pos="265"/>
                <w:tab w:val="left" w:pos="1276" w:leader="none"/>
              </w:tabs>
              <w:jc w:val="left"/>
              <w:rPr/>
            </w:pPr>
            <w:r>
              <w:rPr>
                <w:sz w:val="20"/>
                <w:szCs w:val="20"/>
                <w:shd w:fill="auto" w:val="clear"/>
              </w:rPr>
              <w:t xml:space="preserve">М.П.                              </w:t>
            </w:r>
            <w:r>
              <w:rPr>
                <w:sz w:val="20"/>
                <w:szCs w:val="20"/>
                <w:shd w:fill="auto" w:val="clear"/>
                <w:lang w:val="ru-RU"/>
              </w:rPr>
              <w:t>Доверенность №88/4 от 07.12.2025г.</w:t>
            </w:r>
          </w:p>
        </w:tc>
      </w:tr>
    </w:tbl>
    <w:p>
      <w:pPr>
        <w:sectPr>
          <w:footerReference w:type="default" r:id="rId3"/>
          <w:type w:val="nextPage"/>
          <w:pgSz w:w="11906" w:h="16838"/>
          <w:pgMar w:left="850" w:right="454" w:header="0" w:top="567" w:footer="397" w:bottom="717" w:gutter="0"/>
          <w:pgNumType w:fmt="decimal"/>
          <w:formProt w:val="false"/>
          <w:textDirection w:val="lrTb"/>
          <w:docGrid w:type="default" w:linePitch="360" w:charSpace="0"/>
        </w:sectPr>
      </w:pPr>
    </w:p>
    <w:p>
      <w:pPr>
        <w:pStyle w:val="Normal"/>
        <w:spacing w:lineRule="auto" w:line="240" w:before="4" w:after="0"/>
        <w:ind w:left="0" w:right="0" w:firstLine="561"/>
        <w:jc w:val="right"/>
        <w:rPr>
          <w:sz w:val="18"/>
          <w:szCs w:val="18"/>
        </w:rPr>
      </w:pPr>
      <w:r>
        <w:rPr>
          <w:color w:val="000000"/>
          <w:sz w:val="18"/>
          <w:szCs w:val="18"/>
        </w:rPr>
        <w:t>Приложение №1</w:t>
      </w:r>
    </w:p>
    <w:p>
      <w:pPr>
        <w:pStyle w:val="Normal"/>
        <w:spacing w:lineRule="auto" w:line="240" w:before="4" w:after="0"/>
        <w:ind w:left="0" w:right="0" w:firstLine="561"/>
        <w:jc w:val="right"/>
        <w:rPr/>
      </w:pPr>
      <w:r>
        <w:rPr>
          <w:bCs/>
          <w:color w:val="000000"/>
          <w:sz w:val="18"/>
          <w:szCs w:val="18"/>
        </w:rPr>
        <w:t>к Договору №</w:t>
      </w:r>
      <w:r>
        <w:rPr>
          <w:bCs/>
          <w:color w:val="000000"/>
          <w:sz w:val="18"/>
          <w:szCs w:val="18"/>
          <w:lang w:val="en-US"/>
        </w:rPr>
        <w:t>Z26_ID____</w:t>
      </w:r>
      <w:r>
        <w:rPr>
          <w:color w:val="000000"/>
          <w:sz w:val="18"/>
          <w:szCs w:val="18"/>
        </w:rPr>
        <w:t xml:space="preserve"> </w:t>
      </w:r>
      <w:r>
        <w:rPr>
          <w:bCs/>
          <w:color w:val="000000"/>
          <w:sz w:val="18"/>
          <w:szCs w:val="18"/>
        </w:rPr>
        <w:t xml:space="preserve">от </w:t>
      </w:r>
      <w:r>
        <w:rPr>
          <w:color w:val="000000"/>
          <w:sz w:val="18"/>
          <w:szCs w:val="18"/>
        </w:rPr>
        <w:t>«___» _________ 2026г.</w:t>
      </w:r>
    </w:p>
    <w:p>
      <w:pPr>
        <w:pStyle w:val="Normal"/>
        <w:spacing w:lineRule="auto" w:line="240"/>
        <w:rPr/>
      </w:pPr>
      <w:r>
        <w:rPr>
          <w:sz w:val="20"/>
          <w:szCs w:val="20"/>
        </w:rPr>
        <w:t xml:space="preserve">Поставщик: </w:t>
      </w:r>
      <w:r>
        <w:rPr>
          <w:sz w:val="20"/>
          <w:szCs w:val="20"/>
          <w:u w:val="single"/>
        </w:rPr>
        <w:tab/>
        <w:tab/>
        <w:tab/>
        <w:tab/>
        <w:tab/>
        <w:tab/>
      </w:r>
    </w:p>
    <w:p>
      <w:pPr>
        <w:pStyle w:val="Normal"/>
        <w:spacing w:lineRule="auto" w:line="240"/>
        <w:rPr/>
      </w:pPr>
      <w:r>
        <w:rPr>
          <w:sz w:val="20"/>
          <w:szCs w:val="20"/>
        </w:rPr>
        <w:t xml:space="preserve">Покупатель: </w:t>
      </w:r>
      <w:r>
        <w:rPr>
          <w:sz w:val="20"/>
          <w:szCs w:val="20"/>
          <w:u w:val="single"/>
        </w:rPr>
        <w:t>Публичное акционерное общество «Машиностроительный завод имени М.И. Калинина, г. Екатеринбург» (ПАО «МЗИК»)</w:t>
      </w:r>
    </w:p>
    <w:p>
      <w:pPr>
        <w:pStyle w:val="Normal"/>
        <w:spacing w:lineRule="auto" w:line="240"/>
        <w:rPr>
          <w:sz w:val="20"/>
          <w:szCs w:val="20"/>
          <w:u w:val="single"/>
        </w:rPr>
      </w:pPr>
      <w:r>
        <w:rPr>
          <w:sz w:val="20"/>
          <w:szCs w:val="20"/>
          <w:u w:val="single"/>
        </w:rPr>
      </w:r>
    </w:p>
    <w:tbl>
      <w:tblPr>
        <w:tblW w:w="15364" w:type="dxa"/>
        <w:jc w:val="left"/>
        <w:tblInd w:w="-108" w:type="dxa"/>
        <w:tblCellMar>
          <w:top w:w="55" w:type="dxa"/>
          <w:left w:w="55" w:type="dxa"/>
          <w:bottom w:w="55" w:type="dxa"/>
          <w:right w:w="55" w:type="dxa"/>
        </w:tblCellMar>
      </w:tblPr>
      <w:tblGrid>
        <w:gridCol w:w="450"/>
        <w:gridCol w:w="2332"/>
        <w:gridCol w:w="5946"/>
        <w:gridCol w:w="495"/>
        <w:gridCol w:w="914"/>
        <w:gridCol w:w="3"/>
        <w:gridCol w:w="650"/>
        <w:gridCol w:w="860"/>
        <w:gridCol w:w="5"/>
        <w:gridCol w:w="21"/>
        <w:gridCol w:w="1053"/>
        <w:gridCol w:w="3"/>
        <w:gridCol w:w="18"/>
        <w:gridCol w:w="943"/>
        <w:gridCol w:w="4"/>
        <w:gridCol w:w="18"/>
        <w:gridCol w:w="1647"/>
      </w:tblGrid>
      <w:tr>
        <w:trPr/>
        <w:tc>
          <w:tcPr>
            <w:tcW w:w="450" w:type="dxa"/>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п/п</w:t>
            </w:r>
          </w:p>
        </w:tc>
        <w:tc>
          <w:tcPr>
            <w:tcW w:w="2332" w:type="dxa"/>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Наименование  Товара</w:t>
            </w:r>
          </w:p>
        </w:tc>
        <w:tc>
          <w:tcPr>
            <w:tcW w:w="5946" w:type="dxa"/>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 xml:space="preserve">Обозначение нормативного документа (ГОСТ, ТУ, ОСТ и т. д.) </w:t>
            </w:r>
          </w:p>
        </w:tc>
        <w:tc>
          <w:tcPr>
            <w:tcW w:w="495" w:type="dxa"/>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Ед. изм.</w:t>
            </w:r>
          </w:p>
        </w:tc>
        <w:tc>
          <w:tcPr>
            <w:tcW w:w="917" w:type="dxa"/>
            <w:gridSpan w:val="2"/>
            <w:tcBorders>
              <w:top w:val="single" w:sz="4" w:space="0" w:color="000000"/>
              <w:left w:val="single" w:sz="4" w:space="0" w:color="000000"/>
              <w:bottom w:val="single" w:sz="4" w:space="0" w:color="000000"/>
            </w:tcBorders>
            <w:shd w:fill="auto" w:val="clear"/>
            <w:vAlign w:val="center"/>
          </w:tcPr>
          <w:p>
            <w:pPr>
              <w:pStyle w:val="Normal"/>
              <w:rPr>
                <w:sz w:val="18"/>
                <w:szCs w:val="18"/>
              </w:rPr>
            </w:pPr>
            <w:r>
              <w:rPr>
                <w:b w:val="false"/>
                <w:bCs w:val="false"/>
                <w:sz w:val="18"/>
                <w:szCs w:val="18"/>
              </w:rPr>
              <w:t>Ориентировочный период</w:t>
            </w:r>
            <w:r>
              <w:rPr>
                <w:b w:val="false"/>
                <w:bCs w:val="false"/>
                <w:color w:val="FF0000"/>
                <w:sz w:val="18"/>
                <w:szCs w:val="18"/>
              </w:rPr>
              <w:t xml:space="preserve"> </w:t>
            </w:r>
            <w:r>
              <w:rPr>
                <w:b w:val="false"/>
                <w:bCs w:val="false"/>
                <w:sz w:val="18"/>
                <w:szCs w:val="18"/>
              </w:rPr>
              <w:t>поставки</w:t>
            </w:r>
            <w:r>
              <w:rPr>
                <w:b w:val="false"/>
                <w:bCs w:val="false"/>
                <w:color w:val="FF0000"/>
                <w:sz w:val="18"/>
                <w:szCs w:val="18"/>
              </w:rPr>
              <w:t xml:space="preserve"> </w:t>
            </w:r>
          </w:p>
        </w:tc>
        <w:tc>
          <w:tcPr>
            <w:tcW w:w="650" w:type="dxa"/>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Кол-во</w:t>
            </w:r>
          </w:p>
        </w:tc>
        <w:tc>
          <w:tcPr>
            <w:tcW w:w="865" w:type="dxa"/>
            <w:gridSpan w:val="2"/>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Цена, руб.</w:t>
            </w:r>
          </w:p>
          <w:p>
            <w:pPr>
              <w:pStyle w:val="Normal"/>
              <w:rPr>
                <w:sz w:val="18"/>
                <w:szCs w:val="18"/>
              </w:rPr>
            </w:pPr>
            <w:r>
              <w:rPr>
                <w:sz w:val="18"/>
                <w:szCs w:val="18"/>
              </w:rPr>
              <w:t>(без НДС)</w:t>
            </w:r>
          </w:p>
        </w:tc>
        <w:tc>
          <w:tcPr>
            <w:tcW w:w="1077" w:type="dxa"/>
            <w:gridSpan w:val="3"/>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Сумма, руб.</w:t>
            </w:r>
          </w:p>
          <w:p>
            <w:pPr>
              <w:pStyle w:val="Normal"/>
              <w:rPr>
                <w:sz w:val="18"/>
                <w:szCs w:val="18"/>
              </w:rPr>
            </w:pPr>
            <w:r>
              <w:rPr>
                <w:sz w:val="18"/>
                <w:szCs w:val="18"/>
              </w:rPr>
              <w:t>(без НДС)</w:t>
            </w:r>
          </w:p>
        </w:tc>
        <w:tc>
          <w:tcPr>
            <w:tcW w:w="965" w:type="dxa"/>
            <w:gridSpan w:val="3"/>
            <w:tcBorders>
              <w:top w:val="single" w:sz="4" w:space="0" w:color="000000"/>
              <w:left w:val="single" w:sz="4" w:space="0" w:color="000000"/>
              <w:bottom w:val="single" w:sz="4" w:space="0" w:color="000000"/>
            </w:tcBorders>
            <w:shd w:fill="auto" w:val="clear"/>
            <w:vAlign w:val="center"/>
          </w:tcPr>
          <w:p>
            <w:pPr>
              <w:pStyle w:val="Normal"/>
              <w:rPr>
                <w:sz w:val="18"/>
                <w:szCs w:val="18"/>
              </w:rPr>
            </w:pPr>
            <w:r>
              <w:rPr>
                <w:sz w:val="18"/>
                <w:szCs w:val="18"/>
              </w:rPr>
              <w:t>Страна происхождения товара</w:t>
            </w:r>
          </w:p>
        </w:tc>
        <w:tc>
          <w:tcPr>
            <w:tcW w:w="166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18"/>
                <w:szCs w:val="18"/>
              </w:rPr>
            </w:pPr>
            <w:r>
              <w:rPr>
                <w:sz w:val="18"/>
                <w:szCs w:val="18"/>
              </w:rPr>
              <w:t>Номер реестровой записи из реестра ГИСП</w:t>
            </w:r>
          </w:p>
        </w:tc>
      </w:tr>
      <w:tr>
        <w:trPr/>
        <w:tc>
          <w:tcPr>
            <w:tcW w:w="450" w:type="dxa"/>
            <w:tcBorders>
              <w:left w:val="single" w:sz="4" w:space="0" w:color="000000"/>
              <w:bottom w:val="single" w:sz="4" w:space="0" w:color="000000"/>
            </w:tcBorders>
            <w:shd w:fill="auto" w:val="clear"/>
          </w:tcPr>
          <w:p>
            <w:pPr>
              <w:pStyle w:val="Normal"/>
              <w:tabs>
                <w:tab w:val="clear" w:pos="265"/>
              </w:tabs>
              <w:jc w:val="center"/>
              <w:rPr>
                <w:lang w:val="ru-RU"/>
              </w:rPr>
            </w:pPr>
            <w:r>
              <w:rPr>
                <w:sz w:val="18"/>
                <w:szCs w:val="18"/>
                <w:lang w:val="ru-RU"/>
              </w:rPr>
              <w:t>1</w:t>
            </w:r>
          </w:p>
        </w:tc>
        <w:tc>
          <w:tcPr>
            <w:tcW w:w="2332" w:type="dxa"/>
            <w:tcBorders>
              <w:left w:val="single" w:sz="4" w:space="0" w:color="000000"/>
              <w:bottom w:val="single" w:sz="4" w:space="0" w:color="000000"/>
            </w:tcBorders>
            <w:shd w:fill="auto" w:val="clear"/>
          </w:tcPr>
          <w:p>
            <w:pPr>
              <w:pStyle w:val="Normal"/>
              <w:tabs>
                <w:tab w:val="clear" w:pos="265"/>
              </w:tabs>
              <w:jc w:val="left"/>
              <w:rPr/>
            </w:pPr>
            <w:r>
              <w:rPr>
                <w:b w:val="false"/>
                <w:i w:val="false"/>
                <w:strike w:val="false"/>
                <w:dstrike w:val="false"/>
                <w:outline w:val="false"/>
                <w:shadow w:val="false"/>
                <w:sz w:val="15"/>
                <w:u w:val="none"/>
                <w:em w:val="none"/>
              </w:rPr>
              <w:t>Фильтрующий самоспасатель</w:t>
            </w:r>
          </w:p>
        </w:tc>
        <w:tc>
          <w:tcPr>
            <w:tcW w:w="5946" w:type="dxa"/>
            <w:tcBorders>
              <w:left w:val="single" w:sz="4" w:space="0" w:color="000000"/>
              <w:bottom w:val="single" w:sz="4" w:space="0" w:color="000000"/>
            </w:tcBorders>
            <w:shd w:fill="auto" w:val="clear"/>
          </w:tcPr>
          <w:p>
            <w:pPr>
              <w:pStyle w:val="Normal"/>
              <w:rPr>
                <w:rFonts w:ascii="Times New Roman" w:hAnsi="Times New Roman"/>
                <w:sz w:val="16"/>
                <w:szCs w:val="16"/>
                <w:lang w:val="ru-RU"/>
              </w:rPr>
            </w:pPr>
            <w:r>
              <w:rPr>
                <w:rFonts w:ascii="Times New Roman" w:hAnsi="Times New Roman"/>
                <w:sz w:val="16"/>
                <w:szCs w:val="16"/>
                <w:lang w:val="ru-RU"/>
              </w:rPr>
              <w:t>Фильтрующий самоспасатель с полумаской защищает органы дыхания и зрения от  токсичных продуктов горения при эвакуации из задымленных помещений во время пожара, а так же от опасных химических веществ( паров, газов, аэрозолей). Время защитного действия при пожаре не менее 30 минут.</w:t>
            </w:r>
          </w:p>
          <w:p>
            <w:pPr>
              <w:pStyle w:val="Normal"/>
              <w:rPr>
                <w:rFonts w:ascii="Times New Roman" w:hAnsi="Times New Roman"/>
                <w:sz w:val="16"/>
                <w:szCs w:val="16"/>
              </w:rPr>
            </w:pPr>
            <w:r>
              <w:rPr>
                <w:rFonts w:ascii="Times New Roman" w:hAnsi="Times New Roman"/>
                <w:sz w:val="16"/>
                <w:szCs w:val="16"/>
                <w:lang w:val="ru-RU"/>
              </w:rPr>
              <w:t xml:space="preserve">Внутренняя система самонатяжения оголовья. </w:t>
            </w:r>
          </w:p>
          <w:p>
            <w:pPr>
              <w:pStyle w:val="Normal"/>
              <w:rPr>
                <w:rFonts w:ascii="Times New Roman" w:hAnsi="Times New Roman"/>
                <w:sz w:val="16"/>
                <w:szCs w:val="16"/>
              </w:rPr>
            </w:pPr>
            <w:r>
              <w:rPr>
                <w:rFonts w:ascii="Times New Roman" w:hAnsi="Times New Roman"/>
                <w:sz w:val="16"/>
                <w:szCs w:val="16"/>
                <w:lang w:val="ru-RU"/>
              </w:rPr>
              <w:t>Внутренний воздушный зазор.</w:t>
            </w:r>
            <w:r>
              <w:rPr>
                <w:rFonts w:ascii="Times New Roman" w:hAnsi="Times New Roman"/>
                <w:sz w:val="16"/>
                <w:szCs w:val="16"/>
                <w:lang w:val="ru-RU"/>
              </w:rPr>
              <w:t xml:space="preserve"> </w:t>
            </w:r>
          </w:p>
          <w:p>
            <w:pPr>
              <w:pStyle w:val="Normal"/>
              <w:rPr>
                <w:rFonts w:ascii="Times New Roman" w:hAnsi="Times New Roman"/>
                <w:sz w:val="16"/>
                <w:szCs w:val="16"/>
              </w:rPr>
            </w:pPr>
            <w:r>
              <w:rPr>
                <w:rFonts w:ascii="Times New Roman" w:hAnsi="Times New Roman"/>
                <w:sz w:val="16"/>
                <w:szCs w:val="16"/>
                <w:lang w:val="ru-RU"/>
              </w:rPr>
              <w:t xml:space="preserve">Боковое расположение </w:t>
            </w:r>
            <w:r>
              <w:rPr>
                <w:rFonts w:ascii="Times New Roman" w:hAnsi="Times New Roman"/>
                <w:sz w:val="16"/>
                <w:szCs w:val="16"/>
                <w:lang w:val="ru-RU"/>
              </w:rPr>
              <w:t>фильтров.</w:t>
            </w:r>
          </w:p>
          <w:p>
            <w:pPr>
              <w:pStyle w:val="Normal"/>
              <w:rPr>
                <w:rFonts w:ascii="Times New Roman" w:hAnsi="Times New Roman"/>
                <w:sz w:val="16"/>
                <w:szCs w:val="16"/>
              </w:rPr>
            </w:pPr>
            <w:r>
              <w:rPr>
                <w:rFonts w:ascii="Times New Roman" w:hAnsi="Times New Roman"/>
                <w:sz w:val="16"/>
                <w:szCs w:val="16"/>
                <w:lang w:val="ru-RU"/>
              </w:rPr>
              <w:t>Наличие клапанов вдоха на каждом фильтре.</w:t>
            </w:r>
            <w:r>
              <w:rPr>
                <w:rFonts w:ascii="Times New Roman" w:hAnsi="Times New Roman"/>
                <w:sz w:val="16"/>
                <w:szCs w:val="16"/>
                <w:lang w:val="ru-RU"/>
              </w:rPr>
              <w:t xml:space="preserve"> </w:t>
            </w:r>
          </w:p>
          <w:p>
            <w:pPr>
              <w:pStyle w:val="Normal"/>
              <w:rPr>
                <w:rFonts w:ascii="Times New Roman" w:hAnsi="Times New Roman"/>
                <w:sz w:val="16"/>
                <w:szCs w:val="16"/>
              </w:rPr>
            </w:pPr>
            <w:r>
              <w:rPr>
                <w:rFonts w:ascii="Times New Roman" w:hAnsi="Times New Roman"/>
                <w:sz w:val="16"/>
                <w:szCs w:val="16"/>
                <w:lang w:val="ru-RU"/>
              </w:rPr>
              <w:t>У</w:t>
            </w:r>
            <w:r>
              <w:rPr>
                <w:rFonts w:ascii="Times New Roman" w:hAnsi="Times New Roman"/>
                <w:sz w:val="16"/>
                <w:szCs w:val="16"/>
                <w:lang w:val="ru-RU"/>
              </w:rPr>
              <w:t>ниверсальный размер.</w:t>
            </w:r>
          </w:p>
          <w:p>
            <w:pPr>
              <w:pStyle w:val="Normal"/>
              <w:rPr>
                <w:rFonts w:ascii="Times New Roman" w:hAnsi="Times New Roman"/>
                <w:sz w:val="16"/>
                <w:szCs w:val="16"/>
              </w:rPr>
            </w:pPr>
            <w:r>
              <w:rPr>
                <w:rFonts w:ascii="Times New Roman" w:hAnsi="Times New Roman"/>
                <w:sz w:val="16"/>
                <w:szCs w:val="16"/>
                <w:lang w:val="ru-RU"/>
              </w:rPr>
              <w:t>Термостойкий капюшон.</w:t>
            </w:r>
          </w:p>
          <w:p>
            <w:pPr>
              <w:pStyle w:val="Normal"/>
              <w:bidi w:val="0"/>
              <w:spacing w:before="0" w:after="0"/>
              <w:jc w:val="left"/>
              <w:rPr>
                <w:b w:val="false"/>
                <w:b w:val="false"/>
                <w:i w:val="false"/>
                <w:i w:val="false"/>
                <w:strike w:val="false"/>
                <w:dstrike w:val="false"/>
                <w:outline w:val="false"/>
                <w:shadow w:val="false"/>
                <w:color w:val="auto"/>
                <w:sz w:val="16"/>
                <w:szCs w:val="16"/>
                <w:u w:val="none"/>
                <w:em w:val="none"/>
                <w:lang w:val="ru-RU"/>
              </w:rPr>
            </w:pPr>
            <w:r>
              <w:rPr>
                <w:sz w:val="28"/>
                <w:szCs w:val="28"/>
                <w:lang w:val="ru-RU"/>
              </w:rPr>
            </w:r>
          </w:p>
          <w:p>
            <w:pPr>
              <w:pStyle w:val="Normal"/>
              <w:bidi w:val="0"/>
              <w:spacing w:before="0" w:after="0"/>
              <w:jc w:val="left"/>
              <w:rPr>
                <w:rFonts w:eastAsia="Arial"/>
                <w:b/>
                <w:b/>
                <w:bCs w:val="false"/>
                <w:i w:val="false"/>
                <w:i w:val="false"/>
                <w:strike w:val="false"/>
                <w:dstrike w:val="false"/>
                <w:outline w:val="false"/>
                <w:shadow w:val="false"/>
                <w:color w:val="auto"/>
                <w:sz w:val="18"/>
                <w:szCs w:val="18"/>
                <w:u w:val="none"/>
                <w:em w:val="none"/>
              </w:rPr>
            </w:pPr>
            <w:r>
              <w:rPr>
                <w:rFonts w:eastAsia="Arial"/>
                <w:b/>
                <w:bCs w:val="false"/>
                <w:i w:val="false"/>
                <w:strike w:val="false"/>
                <w:dstrike w:val="false"/>
                <w:outline w:val="false"/>
                <w:shadow w:val="false"/>
                <w:color w:val="auto"/>
                <w:sz w:val="18"/>
                <w:szCs w:val="18"/>
                <w:u w:val="none"/>
                <w:em w:val="none"/>
              </w:rPr>
            </w:r>
          </w:p>
        </w:tc>
        <w:tc>
          <w:tcPr>
            <w:tcW w:w="495" w:type="dxa"/>
            <w:tcBorders>
              <w:left w:val="single" w:sz="4" w:space="0" w:color="000000"/>
              <w:bottom w:val="single" w:sz="4" w:space="0" w:color="000000"/>
            </w:tcBorders>
            <w:shd w:fill="auto" w:val="clear"/>
            <w:vAlign w:val="center"/>
          </w:tcPr>
          <w:p>
            <w:pPr>
              <w:pStyle w:val="Normal"/>
              <w:tabs>
                <w:tab w:val="clear" w:pos="265"/>
              </w:tabs>
              <w:jc w:val="center"/>
              <w:rPr/>
            </w:pPr>
            <w:r>
              <w:rPr>
                <w:sz w:val="18"/>
                <w:szCs w:val="18"/>
                <w:lang w:val="ru-RU"/>
              </w:rPr>
              <w:t>шт</w:t>
            </w:r>
          </w:p>
        </w:tc>
        <w:tc>
          <w:tcPr>
            <w:tcW w:w="917" w:type="dxa"/>
            <w:gridSpan w:val="2"/>
            <w:tcBorders>
              <w:left w:val="single" w:sz="4" w:space="0" w:color="000000"/>
              <w:bottom w:val="single" w:sz="4" w:space="0" w:color="000000"/>
            </w:tcBorders>
            <w:shd w:fill="auto" w:val="clear"/>
            <w:vAlign w:val="center"/>
          </w:tcPr>
          <w:p>
            <w:pPr>
              <w:pStyle w:val="Normal"/>
              <w:rPr/>
            </w:pPr>
            <w:r>
              <w:rPr>
                <w:b w:val="false"/>
                <w:bCs w:val="false"/>
                <w:sz w:val="18"/>
                <w:szCs w:val="18"/>
              </w:rPr>
              <w:t>По 30</w:t>
            </w:r>
            <w:r>
              <w:rPr>
                <w:b w:val="false"/>
                <w:bCs w:val="false"/>
                <w:sz w:val="18"/>
                <w:szCs w:val="18"/>
                <w:lang w:val="ru-RU"/>
              </w:rPr>
              <w:t xml:space="preserve"> </w:t>
            </w:r>
            <w:r>
              <w:rPr>
                <w:b w:val="false"/>
                <w:bCs w:val="false"/>
                <w:sz w:val="18"/>
                <w:szCs w:val="18"/>
                <w:lang w:val="en-US"/>
              </w:rPr>
              <w:t>с</w:t>
            </w:r>
            <w:r>
              <w:rPr>
                <w:b w:val="false"/>
                <w:bCs w:val="false"/>
                <w:sz w:val="18"/>
                <w:szCs w:val="18"/>
                <w:lang w:val="ru-RU"/>
              </w:rPr>
              <w:t xml:space="preserve">ентября </w:t>
            </w:r>
            <w:r>
              <w:rPr>
                <w:b w:val="false"/>
                <w:bCs w:val="false"/>
                <w:sz w:val="18"/>
                <w:szCs w:val="18"/>
              </w:rPr>
              <w:t>202</w:t>
            </w:r>
            <w:r>
              <w:rPr>
                <w:b w:val="false"/>
                <w:bCs w:val="false"/>
                <w:sz w:val="18"/>
                <w:szCs w:val="18"/>
                <w:lang w:val="ru-RU"/>
              </w:rPr>
              <w:t xml:space="preserve">6 </w:t>
            </w:r>
            <w:r>
              <w:rPr>
                <w:b w:val="false"/>
                <w:bCs w:val="false"/>
                <w:sz w:val="18"/>
                <w:szCs w:val="18"/>
              </w:rPr>
              <w:t>года</w:t>
            </w:r>
          </w:p>
        </w:tc>
        <w:tc>
          <w:tcPr>
            <w:tcW w:w="650" w:type="dxa"/>
            <w:tcBorders>
              <w:left w:val="single" w:sz="4" w:space="0" w:color="000000"/>
              <w:bottom w:val="single" w:sz="4" w:space="0" w:color="000000"/>
            </w:tcBorders>
            <w:shd w:fill="auto" w:val="clear"/>
            <w:vAlign w:val="center"/>
          </w:tcPr>
          <w:p>
            <w:pPr>
              <w:pStyle w:val="Normal"/>
              <w:tabs>
                <w:tab w:val="clear" w:pos="265"/>
              </w:tabs>
              <w:jc w:val="center"/>
              <w:rPr/>
            </w:pPr>
            <w:r>
              <w:rPr>
                <w:sz w:val="18"/>
                <w:szCs w:val="18"/>
              </w:rPr>
              <w:t>35</w:t>
            </w:r>
          </w:p>
        </w:tc>
        <w:tc>
          <w:tcPr>
            <w:tcW w:w="865" w:type="dxa"/>
            <w:gridSpan w:val="2"/>
            <w:tcBorders>
              <w:left w:val="single" w:sz="4" w:space="0" w:color="000000"/>
              <w:bottom w:val="single" w:sz="4" w:space="0" w:color="000000"/>
            </w:tcBorders>
            <w:shd w:fill="auto" w:val="clear"/>
            <w:vAlign w:val="center"/>
          </w:tcPr>
          <w:p>
            <w:pPr>
              <w:pStyle w:val="Normal"/>
              <w:rPr>
                <w:rFonts w:ascii="Times New Roman" w:hAnsi="Times New Roman"/>
                <w:sz w:val="18"/>
                <w:szCs w:val="18"/>
              </w:rPr>
            </w:pPr>
            <w:r>
              <w:rPr>
                <w:sz w:val="18"/>
                <w:szCs w:val="18"/>
              </w:rPr>
            </w:r>
          </w:p>
        </w:tc>
        <w:tc>
          <w:tcPr>
            <w:tcW w:w="1077" w:type="dxa"/>
            <w:gridSpan w:val="3"/>
            <w:tcBorders>
              <w:left w:val="single" w:sz="4" w:space="0" w:color="000000"/>
              <w:bottom w:val="single" w:sz="4" w:space="0" w:color="000000"/>
            </w:tcBorders>
            <w:shd w:fill="auto" w:val="clear"/>
            <w:vAlign w:val="center"/>
          </w:tcPr>
          <w:p>
            <w:pPr>
              <w:pStyle w:val="Normal"/>
              <w:rPr>
                <w:rFonts w:ascii="Times New Roman" w:hAnsi="Times New Roman"/>
                <w:sz w:val="18"/>
                <w:szCs w:val="18"/>
              </w:rPr>
            </w:pPr>
            <w:r>
              <w:rPr>
                <w:sz w:val="18"/>
                <w:szCs w:val="18"/>
              </w:rPr>
            </w:r>
          </w:p>
        </w:tc>
        <w:tc>
          <w:tcPr>
            <w:tcW w:w="965" w:type="dxa"/>
            <w:gridSpan w:val="3"/>
            <w:tcBorders>
              <w:left w:val="single" w:sz="4" w:space="0" w:color="000000"/>
              <w:bottom w:val="single" w:sz="4" w:space="0" w:color="000000"/>
            </w:tcBorders>
            <w:shd w:fill="auto" w:val="clear"/>
            <w:vAlign w:val="center"/>
          </w:tcPr>
          <w:p>
            <w:pPr>
              <w:pStyle w:val="Normal"/>
              <w:rPr>
                <w:rFonts w:ascii="Times New Roman" w:hAnsi="Times New Roman"/>
                <w:sz w:val="18"/>
                <w:szCs w:val="18"/>
              </w:rPr>
            </w:pPr>
            <w:r>
              <w:rPr>
                <w:sz w:val="18"/>
                <w:szCs w:val="18"/>
              </w:rPr>
            </w:r>
          </w:p>
        </w:tc>
        <w:tc>
          <w:tcPr>
            <w:tcW w:w="1665" w:type="dxa"/>
            <w:gridSpan w:val="2"/>
            <w:tcBorders>
              <w:left w:val="single" w:sz="4" w:space="0" w:color="000000"/>
              <w:bottom w:val="single" w:sz="4" w:space="0" w:color="000000"/>
              <w:right w:val="single" w:sz="4" w:space="0" w:color="000000"/>
            </w:tcBorders>
            <w:shd w:fill="auto" w:val="clear"/>
            <w:vAlign w:val="center"/>
          </w:tcPr>
          <w:p>
            <w:pPr>
              <w:pStyle w:val="Normal"/>
              <w:rPr>
                <w:rFonts w:ascii="Times New Roman" w:hAnsi="Times New Roman"/>
                <w:sz w:val="18"/>
                <w:szCs w:val="18"/>
              </w:rPr>
            </w:pPr>
            <w:r>
              <w:rPr>
                <w:sz w:val="18"/>
                <w:szCs w:val="18"/>
              </w:rPr>
            </w:r>
          </w:p>
        </w:tc>
      </w:tr>
      <w:tr>
        <w:trPr>
          <w:trHeight w:val="524" w:hRule="atLeast"/>
        </w:trPr>
        <w:tc>
          <w:tcPr>
            <w:tcW w:w="8728" w:type="dxa"/>
            <w:gridSpan w:val="3"/>
            <w:tcBorders>
              <w:left w:val="single" w:sz="4" w:space="0" w:color="000000"/>
              <w:bottom w:val="single" w:sz="4" w:space="0" w:color="000000"/>
            </w:tcBorders>
            <w:shd w:fill="auto" w:val="clear"/>
          </w:tcPr>
          <w:p>
            <w:pPr>
              <w:pStyle w:val="Style19"/>
              <w:spacing w:before="0" w:after="120"/>
              <w:rPr/>
            </w:pPr>
            <w:r>
              <w:rPr>
                <w:sz w:val="18"/>
                <w:szCs w:val="18"/>
              </w:rPr>
              <w:t>Итого:</w:t>
            </w:r>
          </w:p>
        </w:tc>
        <w:tc>
          <w:tcPr>
            <w:tcW w:w="495" w:type="dxa"/>
            <w:tcBorders>
              <w:left w:val="single" w:sz="4" w:space="0" w:color="000000"/>
              <w:bottom w:val="single" w:sz="4" w:space="0" w:color="000000"/>
            </w:tcBorders>
            <w:shd w:fill="auto" w:val="clear"/>
            <w:vAlign w:val="center"/>
          </w:tcPr>
          <w:p>
            <w:pPr>
              <w:pStyle w:val="Style19"/>
              <w:spacing w:before="0" w:after="120"/>
              <w:jc w:val="center"/>
              <w:rPr>
                <w:rFonts w:ascii="Times New Roman" w:hAnsi="Times New Roman"/>
                <w:sz w:val="18"/>
                <w:szCs w:val="18"/>
              </w:rPr>
            </w:pPr>
            <w:r>
              <w:rPr>
                <w:sz w:val="18"/>
                <w:szCs w:val="18"/>
              </w:rPr>
            </w:r>
          </w:p>
        </w:tc>
        <w:tc>
          <w:tcPr>
            <w:tcW w:w="914" w:type="dxa"/>
            <w:tcBorders>
              <w:left w:val="single" w:sz="4" w:space="0" w:color="000000"/>
              <w:bottom w:val="single" w:sz="4" w:space="0" w:color="000000"/>
            </w:tcBorders>
            <w:shd w:fill="auto" w:val="clear"/>
            <w:vAlign w:val="center"/>
          </w:tcPr>
          <w:p>
            <w:pPr>
              <w:pStyle w:val="Style19"/>
              <w:spacing w:before="0" w:after="120"/>
              <w:jc w:val="center"/>
              <w:rPr/>
            </w:pPr>
            <w:r>
              <w:rPr>
                <w:sz w:val="18"/>
                <w:szCs w:val="18"/>
              </w:rPr>
              <w:t>х</w:t>
            </w:r>
          </w:p>
        </w:tc>
        <w:tc>
          <w:tcPr>
            <w:tcW w:w="653" w:type="dxa"/>
            <w:gridSpan w:val="2"/>
            <w:tcBorders>
              <w:left w:val="single" w:sz="4" w:space="0" w:color="000000"/>
              <w:bottom w:val="single" w:sz="4" w:space="0" w:color="000000"/>
            </w:tcBorders>
            <w:shd w:fill="auto" w:val="clear"/>
            <w:vAlign w:val="center"/>
          </w:tcPr>
          <w:p>
            <w:pPr>
              <w:pStyle w:val="Style19"/>
              <w:spacing w:before="0" w:after="120"/>
              <w:jc w:val="center"/>
              <w:rPr>
                <w:rFonts w:ascii="Times New Roman" w:hAnsi="Times New Roman"/>
                <w:sz w:val="18"/>
                <w:szCs w:val="18"/>
              </w:rPr>
            </w:pPr>
            <w:r>
              <w:rPr>
                <w:sz w:val="18"/>
                <w:szCs w:val="18"/>
              </w:rPr>
            </w:r>
          </w:p>
        </w:tc>
        <w:tc>
          <w:tcPr>
            <w:tcW w:w="860" w:type="dxa"/>
            <w:tcBorders>
              <w:left w:val="single" w:sz="4" w:space="0" w:color="000000"/>
              <w:bottom w:val="single" w:sz="4" w:space="0" w:color="000000"/>
            </w:tcBorders>
            <w:shd w:fill="auto" w:val="clear"/>
            <w:vAlign w:val="center"/>
          </w:tcPr>
          <w:p>
            <w:pPr>
              <w:pStyle w:val="Style19"/>
              <w:spacing w:before="0" w:after="120"/>
              <w:jc w:val="center"/>
              <w:rPr/>
            </w:pPr>
            <w:bookmarkStart w:id="3" w:name="__DdeLink__4601_1111775961"/>
            <w:r>
              <w:rPr>
                <w:sz w:val="18"/>
                <w:szCs w:val="18"/>
              </w:rPr>
              <w:t>х</w:t>
            </w:r>
            <w:bookmarkEnd w:id="3"/>
          </w:p>
        </w:tc>
        <w:tc>
          <w:tcPr>
            <w:tcW w:w="1079" w:type="dxa"/>
            <w:gridSpan w:val="3"/>
            <w:tcBorders>
              <w:left w:val="single" w:sz="4" w:space="0" w:color="000000"/>
              <w:bottom w:val="single" w:sz="4" w:space="0" w:color="000000"/>
            </w:tcBorders>
            <w:shd w:fill="auto" w:val="clear"/>
            <w:vAlign w:val="center"/>
          </w:tcPr>
          <w:p>
            <w:pPr>
              <w:pStyle w:val="Style19"/>
              <w:spacing w:before="0" w:after="120"/>
              <w:rPr>
                <w:rFonts w:ascii="Times New Roman" w:hAnsi="Times New Roman"/>
                <w:sz w:val="18"/>
                <w:szCs w:val="18"/>
              </w:rPr>
            </w:pPr>
            <w:r>
              <w:rPr>
                <w:sz w:val="18"/>
                <w:szCs w:val="18"/>
              </w:rPr>
            </w:r>
          </w:p>
        </w:tc>
        <w:tc>
          <w:tcPr>
            <w:tcW w:w="964" w:type="dxa"/>
            <w:gridSpan w:val="3"/>
            <w:tcBorders>
              <w:left w:val="single" w:sz="4" w:space="0" w:color="000000"/>
              <w:bottom w:val="single" w:sz="4" w:space="0" w:color="000000"/>
            </w:tcBorders>
            <w:shd w:fill="auto" w:val="clear"/>
            <w:vAlign w:val="center"/>
          </w:tcPr>
          <w:p>
            <w:pPr>
              <w:pStyle w:val="Style19"/>
              <w:spacing w:before="0" w:after="120"/>
              <w:jc w:val="center"/>
              <w:rPr/>
            </w:pPr>
            <w:r>
              <w:rPr>
                <w:sz w:val="18"/>
                <w:szCs w:val="18"/>
              </w:rPr>
              <w:t>х</w:t>
            </w:r>
          </w:p>
        </w:tc>
        <w:tc>
          <w:tcPr>
            <w:tcW w:w="1669" w:type="dxa"/>
            <w:gridSpan w:val="3"/>
            <w:tcBorders>
              <w:left w:val="single" w:sz="4" w:space="0" w:color="000000"/>
              <w:bottom w:val="single" w:sz="4" w:space="0" w:color="000000"/>
              <w:right w:val="single" w:sz="4" w:space="0" w:color="000000"/>
            </w:tcBorders>
            <w:shd w:fill="auto" w:val="clear"/>
            <w:vAlign w:val="center"/>
          </w:tcPr>
          <w:p>
            <w:pPr>
              <w:pStyle w:val="Style19"/>
              <w:spacing w:before="0" w:after="120"/>
              <w:rPr>
                <w:rFonts w:ascii="Times New Roman" w:hAnsi="Times New Roman"/>
                <w:sz w:val="18"/>
                <w:szCs w:val="18"/>
              </w:rPr>
            </w:pPr>
            <w:r>
              <w:rPr>
                <w:sz w:val="18"/>
                <w:szCs w:val="18"/>
              </w:rPr>
            </w:r>
          </w:p>
        </w:tc>
      </w:tr>
      <w:tr>
        <w:trPr/>
        <w:tc>
          <w:tcPr>
            <w:tcW w:w="11676" w:type="dxa"/>
            <w:gridSpan w:val="10"/>
            <w:tcBorders>
              <w:top w:val="single" w:sz="4" w:space="0" w:color="000000"/>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rPr/>
            </w:pPr>
            <w:r>
              <w:rPr>
                <w:sz w:val="18"/>
                <w:szCs w:val="18"/>
              </w:rPr>
              <w:t xml:space="preserve">                           </w:t>
            </w:r>
            <w:r>
              <w:rPr>
                <w:sz w:val="18"/>
                <w:szCs w:val="18"/>
              </w:rPr>
              <w:t>Сумма НДС ( 22%):</w:t>
            </w:r>
          </w:p>
        </w:tc>
        <w:tc>
          <w:tcPr>
            <w:tcW w:w="1074" w:type="dxa"/>
            <w:gridSpan w:val="3"/>
            <w:tcBorders>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rPr>
                <w:rFonts w:ascii="Times New Roman" w:hAnsi="Times New Roman"/>
                <w:sz w:val="18"/>
                <w:szCs w:val="18"/>
              </w:rPr>
            </w:pPr>
            <w:r>
              <w:rPr>
                <w:sz w:val="18"/>
                <w:szCs w:val="18"/>
              </w:rPr>
            </w:r>
          </w:p>
        </w:tc>
        <w:tc>
          <w:tcPr>
            <w:tcW w:w="965" w:type="dxa"/>
            <w:gridSpan w:val="3"/>
            <w:tcBorders>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jc w:val="center"/>
              <w:rPr/>
            </w:pPr>
            <w:r>
              <w:rPr>
                <w:sz w:val="18"/>
                <w:szCs w:val="18"/>
              </w:rPr>
              <w:t>х</w:t>
            </w:r>
          </w:p>
        </w:tc>
        <w:tc>
          <w:tcPr>
            <w:tcW w:w="1647" w:type="dxa"/>
            <w:tcBorders>
              <w:left w:val="single" w:sz="4" w:space="0" w:color="000000"/>
              <w:bottom w:val="single" w:sz="4" w:space="0" w:color="000000"/>
              <w:right w:val="single" w:sz="4" w:space="0" w:color="000000"/>
            </w:tcBorders>
            <w:shd w:fill="auto" w:val="clear"/>
            <w:tcMar>
              <w:top w:w="0" w:type="dxa"/>
              <w:left w:w="108" w:type="dxa"/>
              <w:bottom w:w="0" w:type="dxa"/>
              <w:right w:w="108" w:type="dxa"/>
            </w:tcMar>
            <w:vAlign w:val="center"/>
          </w:tcPr>
          <w:p>
            <w:pPr>
              <w:pStyle w:val="Style19"/>
              <w:spacing w:before="0" w:after="120"/>
              <w:rPr>
                <w:rFonts w:ascii="Times New Roman" w:hAnsi="Times New Roman"/>
                <w:sz w:val="18"/>
                <w:szCs w:val="18"/>
              </w:rPr>
            </w:pPr>
            <w:r>
              <w:rPr>
                <w:sz w:val="18"/>
                <w:szCs w:val="18"/>
              </w:rPr>
            </w:r>
          </w:p>
        </w:tc>
      </w:tr>
      <w:tr>
        <w:trPr/>
        <w:tc>
          <w:tcPr>
            <w:tcW w:w="11676" w:type="dxa"/>
            <w:gridSpan w:val="10"/>
            <w:tcBorders>
              <w:top w:val="single" w:sz="4" w:space="0" w:color="000000"/>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rPr/>
            </w:pPr>
            <w:r>
              <w:rPr>
                <w:sz w:val="18"/>
                <w:szCs w:val="18"/>
              </w:rPr>
              <w:t xml:space="preserve">                           </w:t>
            </w:r>
            <w:r>
              <w:rPr>
                <w:sz w:val="18"/>
                <w:szCs w:val="18"/>
              </w:rPr>
              <w:t>ИТОГО с НДС:</w:t>
            </w:r>
          </w:p>
        </w:tc>
        <w:tc>
          <w:tcPr>
            <w:tcW w:w="1074" w:type="dxa"/>
            <w:gridSpan w:val="3"/>
            <w:tcBorders>
              <w:top w:val="single" w:sz="4" w:space="0" w:color="000000"/>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rPr>
                <w:rFonts w:ascii="Times New Roman" w:hAnsi="Times New Roman"/>
                <w:sz w:val="18"/>
                <w:szCs w:val="18"/>
              </w:rPr>
            </w:pPr>
            <w:r>
              <w:rPr>
                <w:sz w:val="18"/>
                <w:szCs w:val="18"/>
              </w:rPr>
            </w:r>
          </w:p>
        </w:tc>
        <w:tc>
          <w:tcPr>
            <w:tcW w:w="965" w:type="dxa"/>
            <w:gridSpan w:val="3"/>
            <w:tcBorders>
              <w:top w:val="single" w:sz="4" w:space="0" w:color="000000"/>
              <w:left w:val="single" w:sz="4" w:space="0" w:color="000000"/>
              <w:bottom w:val="single" w:sz="4" w:space="0" w:color="000000"/>
            </w:tcBorders>
            <w:shd w:fill="auto" w:val="clear"/>
            <w:tcMar>
              <w:top w:w="0" w:type="dxa"/>
              <w:left w:w="108" w:type="dxa"/>
              <w:bottom w:w="0" w:type="dxa"/>
              <w:right w:w="108" w:type="dxa"/>
            </w:tcMar>
            <w:vAlign w:val="center"/>
          </w:tcPr>
          <w:p>
            <w:pPr>
              <w:pStyle w:val="Style19"/>
              <w:spacing w:before="0" w:after="120"/>
              <w:jc w:val="center"/>
              <w:rPr/>
            </w:pPr>
            <w:r>
              <w:rPr>
                <w:sz w:val="18"/>
                <w:szCs w:val="18"/>
              </w:rPr>
              <w:t>х</w:t>
            </w:r>
          </w:p>
        </w:tc>
        <w:tc>
          <w:tcPr>
            <w:tcW w:w="1647" w:type="dxa"/>
            <w:tcBorders>
              <w:top w:val="single" w:sz="4" w:space="0" w:color="000000"/>
              <w:left w:val="single" w:sz="4" w:space="0" w:color="000000"/>
              <w:bottom w:val="single" w:sz="4" w:space="0" w:color="000000"/>
              <w:right w:val="single" w:sz="4" w:space="0" w:color="000000"/>
            </w:tcBorders>
            <w:shd w:fill="auto" w:val="clear"/>
            <w:tcMar>
              <w:top w:w="0" w:type="dxa"/>
              <w:left w:w="108" w:type="dxa"/>
              <w:bottom w:w="0" w:type="dxa"/>
              <w:right w:w="108" w:type="dxa"/>
            </w:tcMar>
            <w:vAlign w:val="center"/>
          </w:tcPr>
          <w:p>
            <w:pPr>
              <w:pStyle w:val="Style19"/>
              <w:spacing w:before="0" w:after="120"/>
              <w:rPr>
                <w:rFonts w:ascii="Times New Roman" w:hAnsi="Times New Roman"/>
                <w:sz w:val="18"/>
                <w:szCs w:val="18"/>
              </w:rPr>
            </w:pPr>
            <w:r>
              <w:rPr>
                <w:sz w:val="18"/>
                <w:szCs w:val="18"/>
              </w:rPr>
            </w:r>
          </w:p>
        </w:tc>
      </w:tr>
    </w:tbl>
    <w:p>
      <w:pPr>
        <w:pStyle w:val="Normal"/>
        <w:spacing w:lineRule="auto" w:line="240"/>
        <w:rPr>
          <w:sz w:val="20"/>
          <w:szCs w:val="20"/>
          <w:u w:val="single"/>
        </w:rPr>
      </w:pPr>
      <w:r>
        <w:rPr>
          <w:sz w:val="20"/>
          <w:szCs w:val="20"/>
          <w:u w:val="single"/>
        </w:rPr>
      </w:r>
    </w:p>
    <w:p>
      <w:pPr>
        <w:pStyle w:val="Normal"/>
        <w:tabs>
          <w:tab w:val="clear" w:pos="265"/>
          <w:tab w:val="left" w:pos="709" w:leader="none"/>
          <w:tab w:val="left" w:pos="851" w:leader="none"/>
        </w:tabs>
        <w:ind w:left="0" w:right="0" w:firstLine="567"/>
        <w:jc w:val="both"/>
        <w:rPr/>
      </w:pPr>
      <w:r>
        <w:rPr>
          <w:sz w:val="20"/>
          <w:szCs w:val="20"/>
        </w:rPr>
        <w:t xml:space="preserve">Итого к оплате ______________ </w:t>
      </w:r>
      <w:r>
        <w:rPr>
          <w:i/>
          <w:sz w:val="20"/>
          <w:szCs w:val="20"/>
        </w:rPr>
        <w:t>(</w:t>
      </w:r>
      <w:r>
        <w:rPr>
          <w:i w:val="false"/>
          <w:iCs w:val="false"/>
          <w:sz w:val="20"/>
          <w:szCs w:val="20"/>
        </w:rPr>
        <w:t>Цифрами и прописью) рублей ____ копеек, в том числе НДС (__%) –  ________________ (Цифрами и прописью) рублей _____копеек.</w:t>
      </w:r>
    </w:p>
    <w:p>
      <w:pPr>
        <w:pStyle w:val="Normal"/>
        <w:numPr>
          <w:ilvl w:val="0"/>
          <w:numId w:val="1"/>
        </w:numPr>
        <w:tabs>
          <w:tab w:val="clear" w:pos="265"/>
          <w:tab w:val="left" w:pos="644" w:leader="none"/>
          <w:tab w:val="left" w:pos="709" w:leader="none"/>
          <w:tab w:val="left" w:pos="851" w:leader="none"/>
        </w:tabs>
        <w:ind w:left="0" w:right="0" w:firstLine="567"/>
        <w:jc w:val="both"/>
        <w:rPr/>
      </w:pPr>
      <w:r>
        <w:rPr>
          <w:i w:val="false"/>
          <w:iCs w:val="false"/>
          <w:sz w:val="20"/>
          <w:szCs w:val="20"/>
        </w:rPr>
        <w:t xml:space="preserve">Оплата </w:t>
      </w:r>
      <w:r>
        <w:rPr>
          <w:i w:val="false"/>
          <w:iCs w:val="false"/>
          <w:color w:val="000000"/>
          <w:sz w:val="20"/>
          <w:szCs w:val="20"/>
        </w:rPr>
        <w:t>Товара</w:t>
      </w:r>
      <w:r>
        <w:rPr>
          <w:i w:val="false"/>
          <w:iCs w:val="false"/>
          <w:sz w:val="20"/>
          <w:szCs w:val="20"/>
        </w:rPr>
        <w:t xml:space="preserve"> производится Покупателем: 100% предварительная оплата в течение 7</w:t>
      </w:r>
      <w:r>
        <w:rPr>
          <w:bCs/>
          <w:i w:val="false"/>
          <w:iCs w:val="false"/>
          <w:sz w:val="20"/>
          <w:szCs w:val="20"/>
        </w:rPr>
        <w:t xml:space="preserve"> рабочих</w:t>
      </w:r>
      <w:r>
        <w:rPr>
          <w:b/>
          <w:bCs/>
          <w:i w:val="false"/>
          <w:iCs w:val="false"/>
          <w:sz w:val="20"/>
          <w:szCs w:val="20"/>
        </w:rPr>
        <w:t xml:space="preserve"> </w:t>
      </w:r>
      <w:r>
        <w:rPr>
          <w:i w:val="false"/>
          <w:iCs w:val="false"/>
          <w:sz w:val="20"/>
          <w:szCs w:val="20"/>
        </w:rPr>
        <w:t>дней с даты подписания договора сторонами путем перечисления денежных средств на расчетный счет Поставщика.</w:t>
      </w:r>
    </w:p>
    <w:p>
      <w:pPr>
        <w:pStyle w:val="Normal"/>
        <w:numPr>
          <w:ilvl w:val="0"/>
          <w:numId w:val="1"/>
        </w:numPr>
        <w:tabs>
          <w:tab w:val="clear" w:pos="265"/>
          <w:tab w:val="left" w:pos="644" w:leader="none"/>
          <w:tab w:val="left" w:pos="709" w:leader="none"/>
          <w:tab w:val="left" w:pos="851" w:leader="none"/>
        </w:tabs>
        <w:ind w:left="0" w:right="0" w:firstLine="567"/>
        <w:jc w:val="both"/>
        <w:rPr/>
      </w:pPr>
      <w:r>
        <w:rPr>
          <w:sz w:val="20"/>
          <w:szCs w:val="20"/>
        </w:rPr>
        <w:t xml:space="preserve">Доставка </w:t>
      </w:r>
      <w:r>
        <w:rPr>
          <w:color w:val="000000"/>
          <w:sz w:val="20"/>
          <w:szCs w:val="20"/>
        </w:rPr>
        <w:t>Товара</w:t>
      </w:r>
      <w:r>
        <w:rPr>
          <w:sz w:val="20"/>
          <w:szCs w:val="20"/>
        </w:rPr>
        <w:t xml:space="preserve">:  </w:t>
      </w:r>
      <w:r>
        <w:rPr>
          <w:color w:val="000000"/>
          <w:sz w:val="20"/>
          <w:szCs w:val="20"/>
        </w:rPr>
        <w:t>Покупатель самостоятельно забирает Товар со склада Поставщика.</w:t>
      </w:r>
    </w:p>
    <w:p>
      <w:pPr>
        <w:pStyle w:val="Normal"/>
        <w:numPr>
          <w:ilvl w:val="0"/>
          <w:numId w:val="1"/>
        </w:numPr>
        <w:tabs>
          <w:tab w:val="clear" w:pos="265"/>
          <w:tab w:val="left" w:pos="561" w:leader="none"/>
          <w:tab w:val="left" w:pos="644" w:leader="none"/>
          <w:tab w:val="left" w:pos="709" w:leader="none"/>
          <w:tab w:val="left" w:pos="851" w:leader="none"/>
        </w:tabs>
        <w:ind w:left="0" w:right="0" w:firstLine="567"/>
        <w:jc w:val="both"/>
        <w:rPr/>
      </w:pPr>
      <w:r>
        <w:rPr>
          <w:sz w:val="20"/>
          <w:szCs w:val="20"/>
        </w:rPr>
        <w:t xml:space="preserve">Срок поставки </w:t>
      </w:r>
      <w:r>
        <w:rPr>
          <w:color w:val="000000"/>
          <w:sz w:val="20"/>
          <w:szCs w:val="20"/>
        </w:rPr>
        <w:t>Товара</w:t>
      </w:r>
      <w:r>
        <w:rPr>
          <w:sz w:val="20"/>
          <w:szCs w:val="20"/>
        </w:rPr>
        <w:t>: В соответствии с ориентировочным периодом поставки, по заявкам Покупателя. Окончательный срок и объем поставки товара устанавливается заявкой Покупателя. Срок поставки не более</w:t>
      </w:r>
      <w:r>
        <w:rPr>
          <w:color w:val="000000"/>
          <w:sz w:val="20"/>
          <w:szCs w:val="20"/>
        </w:rPr>
        <w:t xml:space="preserve"> 10 (десяти) рабочих дней с момента направления заявки Покупателем Поставщику на электронную почту ___________________. Все</w:t>
      </w:r>
      <w:r>
        <w:rPr>
          <w:sz w:val="20"/>
          <w:szCs w:val="20"/>
        </w:rPr>
        <w:t xml:space="preserve"> обязательства Поставщика по поставке товара Покупателю должны быть исполнены по «30»  </w:t>
      </w:r>
      <w:r>
        <w:rPr>
          <w:sz w:val="20"/>
          <w:szCs w:val="20"/>
          <w:lang w:val="ru-RU"/>
        </w:rPr>
        <w:t>сентября</w:t>
      </w:r>
      <w:r>
        <w:rPr>
          <w:sz w:val="20"/>
          <w:szCs w:val="20"/>
        </w:rPr>
        <w:t xml:space="preserve"> 2026 г. включительно.</w:t>
      </w:r>
    </w:p>
    <w:p>
      <w:pPr>
        <w:pStyle w:val="Normal"/>
        <w:numPr>
          <w:ilvl w:val="0"/>
          <w:numId w:val="1"/>
        </w:numPr>
        <w:tabs>
          <w:tab w:val="clear" w:pos="265"/>
          <w:tab w:val="left" w:pos="644" w:leader="none"/>
          <w:tab w:val="left" w:pos="709" w:leader="none"/>
          <w:tab w:val="left" w:pos="851" w:leader="none"/>
        </w:tabs>
        <w:ind w:left="0" w:right="0" w:firstLine="567"/>
        <w:jc w:val="both"/>
        <w:rPr/>
      </w:pPr>
      <w:r>
        <w:rPr>
          <w:sz w:val="20"/>
          <w:szCs w:val="20"/>
        </w:rPr>
        <w:t>Расходы, связанные с выполнением работ, оказанием услуг, с исполнением условий договора, в том числе: с поставкой, перевозкой, погрузкой, страхованием товара, с включением иных транспортных расходов (включая расходы по доставке Товара на склад Поставщика</w:t>
      </w:r>
      <w:r>
        <w:rPr>
          <w:sz w:val="20"/>
          <w:szCs w:val="20"/>
          <w:lang w:val="en-US"/>
        </w:rPr>
        <w:t>)</w:t>
      </w:r>
      <w:r>
        <w:rPr>
          <w:sz w:val="20"/>
          <w:szCs w:val="20"/>
        </w:rPr>
        <w:t>, а также налогов, сборов и иных платежей, необходимых для исполнения обязательств по договору, включая НДС 22%: включаются в стоимость товара.</w:t>
      </w:r>
    </w:p>
    <w:p>
      <w:pPr>
        <w:pStyle w:val="Normal"/>
        <w:numPr>
          <w:ilvl w:val="0"/>
          <w:numId w:val="1"/>
        </w:numPr>
        <w:tabs>
          <w:tab w:val="clear" w:pos="265"/>
          <w:tab w:val="left" w:pos="644" w:leader="none"/>
          <w:tab w:val="left" w:pos="709" w:leader="none"/>
          <w:tab w:val="left" w:pos="851" w:leader="none"/>
        </w:tabs>
        <w:ind w:left="0" w:right="0" w:firstLine="567"/>
        <w:jc w:val="both"/>
        <w:rPr/>
      </w:pPr>
      <w:r>
        <w:rPr>
          <w:sz w:val="20"/>
          <w:szCs w:val="20"/>
        </w:rPr>
        <w:t xml:space="preserve">Другие существенные условия договора: </w:t>
      </w:r>
      <w:r>
        <w:rPr>
          <w:color w:val="000000"/>
          <w:sz w:val="20"/>
          <w:szCs w:val="20"/>
        </w:rPr>
        <w:t>наличие Сертификата соответствия ГОСТ Р, Декларации о соответствии ГОСТ Р, Сертификата соответствия требованиям технического регламента, Декларации о соответствии техническому регламенту (если закупаемый товар включен в соответствующие перечни обязательного подтверждения соответствия) или иного документа, предусмотренного действующим законодательством, подтверждающим качество Товара.</w:t>
      </w:r>
    </w:p>
    <w:p>
      <w:pPr>
        <w:pStyle w:val="Normal"/>
        <w:numPr>
          <w:ilvl w:val="0"/>
          <w:numId w:val="1"/>
        </w:numPr>
        <w:tabs>
          <w:tab w:val="clear" w:pos="265"/>
          <w:tab w:val="left" w:pos="644" w:leader="none"/>
          <w:tab w:val="left" w:pos="709" w:leader="none"/>
          <w:tab w:val="left" w:pos="851" w:leader="none"/>
        </w:tabs>
        <w:ind w:left="0" w:right="0" w:firstLine="567"/>
        <w:jc w:val="both"/>
        <w:rPr/>
      </w:pPr>
      <w:r>
        <w:rPr>
          <w:sz w:val="20"/>
          <w:szCs w:val="20"/>
        </w:rPr>
        <w:t xml:space="preserve">Особые требования к товару: надлежащая и надежная упаковка и маркировка, поставляемого </w:t>
      </w:r>
      <w:r>
        <w:rPr>
          <w:color w:val="000000"/>
          <w:sz w:val="20"/>
          <w:szCs w:val="20"/>
        </w:rPr>
        <w:t xml:space="preserve">Товара </w:t>
      </w:r>
      <w:r>
        <w:rPr>
          <w:sz w:val="20"/>
          <w:szCs w:val="20"/>
        </w:rPr>
        <w:t>в соответствии с условиями договора, требованиями НД, с целью обеспечения сохранности при перевозке и хранении.</w:t>
      </w:r>
    </w:p>
    <w:p>
      <w:pPr>
        <w:pStyle w:val="Normal"/>
        <w:numPr>
          <w:ilvl w:val="0"/>
          <w:numId w:val="1"/>
        </w:numPr>
        <w:tabs>
          <w:tab w:val="clear" w:pos="265"/>
          <w:tab w:val="left" w:pos="644" w:leader="none"/>
          <w:tab w:val="left" w:pos="709" w:leader="none"/>
          <w:tab w:val="left" w:pos="851" w:leader="none"/>
        </w:tabs>
        <w:ind w:left="0" w:right="0" w:firstLine="567"/>
        <w:jc w:val="both"/>
        <w:rPr/>
      </w:pPr>
      <w:r>
        <w:rPr>
          <w:bCs/>
          <w:sz w:val="20"/>
          <w:szCs w:val="20"/>
        </w:rPr>
        <w:t xml:space="preserve">Требования к качеству </w:t>
      </w:r>
      <w:r>
        <w:rPr>
          <w:bCs/>
          <w:color w:val="000000"/>
          <w:sz w:val="20"/>
          <w:szCs w:val="20"/>
        </w:rPr>
        <w:t>Товара</w:t>
      </w:r>
      <w:r>
        <w:rPr>
          <w:bCs/>
          <w:sz w:val="20"/>
          <w:szCs w:val="20"/>
        </w:rPr>
        <w:t xml:space="preserve">: качественные и технические характеристики </w:t>
      </w:r>
      <w:r>
        <w:rPr>
          <w:bCs/>
          <w:color w:val="000000"/>
          <w:sz w:val="20"/>
          <w:szCs w:val="20"/>
        </w:rPr>
        <w:t>Товара</w:t>
      </w:r>
      <w:r>
        <w:rPr>
          <w:bCs/>
          <w:sz w:val="20"/>
          <w:szCs w:val="20"/>
        </w:rPr>
        <w:t xml:space="preserve"> должны соответствовать настоящей спецификации. Качество </w:t>
      </w:r>
      <w:r>
        <w:rPr>
          <w:bCs/>
          <w:color w:val="000000"/>
          <w:sz w:val="20"/>
          <w:szCs w:val="20"/>
        </w:rPr>
        <w:t>Товара</w:t>
      </w:r>
      <w:r>
        <w:rPr>
          <w:bCs/>
          <w:sz w:val="20"/>
          <w:szCs w:val="20"/>
        </w:rPr>
        <w:t xml:space="preserve"> должно соответствовать действующим стандартам.</w:t>
      </w:r>
    </w:p>
    <w:p>
      <w:pPr>
        <w:pStyle w:val="Normal"/>
        <w:numPr>
          <w:ilvl w:val="0"/>
          <w:numId w:val="1"/>
        </w:numPr>
        <w:tabs>
          <w:tab w:val="clear" w:pos="265"/>
          <w:tab w:val="left" w:pos="644" w:leader="none"/>
          <w:tab w:val="left" w:pos="709" w:leader="none"/>
          <w:tab w:val="left" w:pos="851" w:leader="none"/>
        </w:tabs>
        <w:ind w:left="0" w:right="0" w:firstLine="567"/>
        <w:jc w:val="both"/>
        <w:rPr/>
      </w:pPr>
      <w:r>
        <w:rPr>
          <w:bCs/>
          <w:color w:val="000000"/>
          <w:sz w:val="20"/>
          <w:szCs w:val="20"/>
        </w:rPr>
        <w:t xml:space="preserve">Гарантийные обязательства на товар – 12 месяцев с даты поставки Поставщиком. </w:t>
      </w:r>
    </w:p>
    <w:p>
      <w:pPr>
        <w:pStyle w:val="Normal"/>
        <w:numPr>
          <w:ilvl w:val="0"/>
          <w:numId w:val="1"/>
        </w:numPr>
        <w:tabs>
          <w:tab w:val="clear" w:pos="265"/>
          <w:tab w:val="left" w:pos="644" w:leader="none"/>
          <w:tab w:val="left" w:pos="709" w:leader="none"/>
          <w:tab w:val="left" w:pos="851" w:leader="none"/>
        </w:tabs>
        <w:ind w:left="0" w:right="0" w:firstLine="567"/>
        <w:jc w:val="both"/>
        <w:rPr/>
      </w:pPr>
      <w:r>
        <w:rPr>
          <w:rFonts w:eastAsia="Arial"/>
          <w:color w:val="000000"/>
          <w:sz w:val="20"/>
          <w:szCs w:val="20"/>
        </w:rPr>
        <w:t xml:space="preserve">При не выборке Покупателем объема Товара, указанного в Спецификации №1 до  «30»  </w:t>
      </w:r>
      <w:r>
        <w:rPr>
          <w:rFonts w:eastAsia="Arial"/>
          <w:color w:val="000000"/>
          <w:sz w:val="20"/>
          <w:szCs w:val="20"/>
          <w:lang w:val="ru-RU"/>
        </w:rPr>
        <w:t>сентября</w:t>
      </w:r>
      <w:r>
        <w:rPr>
          <w:rFonts w:eastAsia="Arial"/>
          <w:color w:val="000000"/>
          <w:sz w:val="20"/>
          <w:szCs w:val="20"/>
        </w:rPr>
        <w:t xml:space="preserve"> 2026., обязанности Поставщика по поставке Товара считаются выполненными. Оплата Товара производится за фактически поставленный объем продукции.</w:t>
      </w:r>
    </w:p>
    <w:p>
      <w:pPr>
        <w:pStyle w:val="Normal"/>
        <w:widowControl/>
        <w:numPr>
          <w:ilvl w:val="0"/>
          <w:numId w:val="1"/>
        </w:numPr>
        <w:tabs>
          <w:tab w:val="clear" w:pos="265"/>
          <w:tab w:val="left" w:pos="288" w:leader="none"/>
          <w:tab w:val="left" w:pos="851" w:leader="none"/>
        </w:tabs>
        <w:overflowPunct w:val="true"/>
        <w:bidi w:val="0"/>
        <w:spacing w:lineRule="auto" w:line="240"/>
        <w:ind w:left="510" w:right="0" w:hanging="0"/>
        <w:jc w:val="both"/>
        <w:rPr/>
      </w:pPr>
      <w:r>
        <w:rPr>
          <w:rFonts w:eastAsia="Arial" w:cs="Times New Roman"/>
          <w:b w:val="false"/>
          <w:bCs/>
          <w:i w:val="false"/>
          <w:iCs w:val="false"/>
          <w:strike w:val="false"/>
          <w:dstrike w:val="false"/>
          <w:vanish w:val="false"/>
          <w:color w:val="000000"/>
          <w:position w:val="0"/>
          <w:sz w:val="20"/>
          <w:sz w:val="20"/>
          <w:szCs w:val="20"/>
          <w:u w:val="none"/>
          <w:vertAlign w:val="baseline"/>
        </w:rPr>
        <w:t>При исполнении Договора не допускается замена Товара, содержащегося в р</w:t>
      </w:r>
      <w:r>
        <w:rPr>
          <w:rFonts w:eastAsia="Arial" w:cs="Times New Roman"/>
          <w:b w:val="false"/>
          <w:bCs w:val="false"/>
          <w:i w:val="false"/>
          <w:iCs w:val="false"/>
          <w:strike w:val="false"/>
          <w:dstrike w:val="false"/>
          <w:vanish w:val="false"/>
          <w:color w:val="000000"/>
          <w:position w:val="0"/>
          <w:sz w:val="20"/>
          <w:sz w:val="20"/>
          <w:szCs w:val="20"/>
          <w:u w:val="none"/>
          <w:vertAlign w:val="baseline"/>
        </w:rPr>
        <w:t xml:space="preserve">еестре российской промышленной продукции, на Товар, не содержащийся в таком реестре или евразийском реестре промышленных Товаров государств — членов Евразийского экономического союза. </w:t>
      </w:r>
    </w:p>
    <w:p>
      <w:pPr>
        <w:pStyle w:val="Normal"/>
        <w:spacing w:lineRule="auto" w:line="240"/>
        <w:ind w:left="0" w:right="0" w:firstLine="567"/>
        <w:jc w:val="both"/>
        <w:rPr/>
      </w:pPr>
      <w:r>
        <w:rPr>
          <w:b/>
          <w:bCs/>
          <w:sz w:val="20"/>
          <w:szCs w:val="20"/>
          <w:u w:val="none"/>
        </w:rPr>
        <w:t>11</w:t>
      </w:r>
      <w:r>
        <w:rPr>
          <w:sz w:val="20"/>
          <w:szCs w:val="20"/>
          <w:u w:val="none"/>
        </w:rPr>
        <w:t>. Страна происхождения товара является существенным условием договора.</w:t>
      </w:r>
    </w:p>
    <w:p>
      <w:pPr>
        <w:pStyle w:val="Normal"/>
        <w:spacing w:lineRule="auto" w:line="240"/>
        <w:rPr>
          <w:rFonts w:ascii="Times New Roman" w:hAnsi="Times New Roman"/>
          <w:sz w:val="20"/>
          <w:szCs w:val="20"/>
        </w:rPr>
      </w:pPr>
      <w:r>
        <w:rPr>
          <w:sz w:val="20"/>
          <w:szCs w:val="20"/>
        </w:rPr>
      </w:r>
    </w:p>
    <w:p>
      <w:pPr>
        <w:pStyle w:val="Normal"/>
        <w:spacing w:lineRule="auto" w:line="240"/>
        <w:rPr>
          <w:rFonts w:ascii="Times New Roman" w:hAnsi="Times New Roman"/>
          <w:sz w:val="20"/>
          <w:szCs w:val="20"/>
        </w:rPr>
      </w:pPr>
      <w:r>
        <w:rPr>
          <w:sz w:val="20"/>
          <w:szCs w:val="20"/>
        </w:rPr>
      </w:r>
    </w:p>
    <w:p>
      <w:pPr>
        <w:pStyle w:val="Normal"/>
        <w:widowControl/>
        <w:tabs>
          <w:tab w:val="clear" w:pos="265"/>
          <w:tab w:val="left" w:pos="709" w:leader="none"/>
          <w:tab w:val="left" w:pos="851" w:leader="none"/>
        </w:tabs>
        <w:bidi w:val="0"/>
        <w:spacing w:lineRule="auto" w:line="240"/>
        <w:ind w:left="0" w:right="0" w:hanging="0"/>
        <w:jc w:val="both"/>
        <w:rPr>
          <w:sz w:val="20"/>
          <w:szCs w:val="20"/>
        </w:rPr>
      </w:pPr>
      <w:r>
        <w:rPr>
          <w:sz w:val="20"/>
          <w:szCs w:val="20"/>
        </w:rPr>
      </w:r>
    </w:p>
    <w:tbl>
      <w:tblPr>
        <w:tblW w:w="15373" w:type="dxa"/>
        <w:jc w:val="left"/>
        <w:tblInd w:w="57" w:type="dxa"/>
        <w:tblCellMar>
          <w:top w:w="0" w:type="dxa"/>
          <w:left w:w="108" w:type="dxa"/>
          <w:bottom w:w="0" w:type="dxa"/>
          <w:right w:w="108" w:type="dxa"/>
        </w:tblCellMar>
      </w:tblPr>
      <w:tblGrid>
        <w:gridCol w:w="7594"/>
        <w:gridCol w:w="7778"/>
      </w:tblGrid>
      <w:tr>
        <w:trPr>
          <w:trHeight w:val="311" w:hRule="atLeast"/>
        </w:trPr>
        <w:tc>
          <w:tcPr>
            <w:tcW w:w="7594" w:type="dxa"/>
            <w:tcBorders/>
            <w:shd w:fill="auto" w:val="clear"/>
          </w:tcPr>
          <w:p>
            <w:pPr>
              <w:pStyle w:val="Normal"/>
              <w:tabs>
                <w:tab w:val="clear" w:pos="265"/>
                <w:tab w:val="left" w:pos="1276" w:leader="none"/>
              </w:tabs>
              <w:snapToGrid w:val="false"/>
              <w:jc w:val="left"/>
              <w:rPr/>
            </w:pPr>
            <w:r>
              <w:rPr>
                <w:b/>
                <w:color w:val="000000"/>
                <w:sz w:val="20"/>
                <w:szCs w:val="20"/>
              </w:rPr>
              <w:t>От Поставщика:</w:t>
            </w:r>
          </w:p>
          <w:p>
            <w:pPr>
              <w:pStyle w:val="Normal"/>
              <w:tabs>
                <w:tab w:val="clear" w:pos="265"/>
                <w:tab w:val="left" w:pos="1276" w:leader="none"/>
              </w:tabs>
              <w:jc w:val="left"/>
              <w:rPr>
                <w:rFonts w:ascii="Times New Roman" w:hAnsi="Times New Roman"/>
                <w:sz w:val="20"/>
                <w:szCs w:val="20"/>
              </w:rPr>
            </w:pPr>
            <w:r>
              <w:rPr>
                <w:sz w:val="20"/>
                <w:szCs w:val="20"/>
              </w:rPr>
            </w:r>
          </w:p>
          <w:p>
            <w:pPr>
              <w:pStyle w:val="Normal"/>
              <w:tabs>
                <w:tab w:val="clear" w:pos="265"/>
                <w:tab w:val="left" w:pos="1276" w:leader="none"/>
              </w:tabs>
              <w:jc w:val="left"/>
              <w:rPr>
                <w:rFonts w:ascii="Times New Roman" w:hAnsi="Times New Roman"/>
                <w:sz w:val="20"/>
                <w:szCs w:val="20"/>
              </w:rPr>
            </w:pPr>
            <w:r>
              <w:rPr>
                <w:sz w:val="20"/>
                <w:szCs w:val="20"/>
              </w:rPr>
            </w:r>
          </w:p>
          <w:p>
            <w:pPr>
              <w:pStyle w:val="Normal"/>
              <w:tabs>
                <w:tab w:val="clear" w:pos="265"/>
                <w:tab w:val="left" w:pos="1276" w:leader="none"/>
              </w:tabs>
              <w:jc w:val="left"/>
              <w:rPr/>
            </w:pPr>
            <w:r>
              <w:rPr>
                <w:sz w:val="20"/>
                <w:szCs w:val="20"/>
              </w:rPr>
              <w:t>_______________________ /_________________________/</w:t>
            </w:r>
          </w:p>
          <w:p>
            <w:pPr>
              <w:pStyle w:val="Normal"/>
              <w:tabs>
                <w:tab w:val="clear" w:pos="265"/>
                <w:tab w:val="left" w:pos="1276" w:leader="none"/>
              </w:tabs>
              <w:jc w:val="left"/>
              <w:rPr/>
            </w:pPr>
            <w:r>
              <w:rPr>
                <w:sz w:val="20"/>
                <w:szCs w:val="20"/>
              </w:rPr>
              <w:t>М.П.</w:t>
            </w:r>
          </w:p>
        </w:tc>
        <w:tc>
          <w:tcPr>
            <w:tcW w:w="7778" w:type="dxa"/>
            <w:tcBorders/>
            <w:shd w:fill="auto" w:val="clear"/>
          </w:tcPr>
          <w:p>
            <w:pPr>
              <w:pStyle w:val="Normal"/>
              <w:tabs>
                <w:tab w:val="clear" w:pos="265"/>
                <w:tab w:val="left" w:pos="1276" w:leader="none"/>
              </w:tabs>
              <w:snapToGrid w:val="false"/>
              <w:jc w:val="left"/>
              <w:rPr/>
            </w:pPr>
            <w:r>
              <w:rPr>
                <w:b/>
                <w:color w:val="000000"/>
                <w:sz w:val="20"/>
                <w:szCs w:val="20"/>
              </w:rPr>
              <w:t>От Покупат</w:t>
            </w:r>
            <w:r>
              <w:rPr>
                <w:b/>
                <w:color w:val="000000"/>
                <w:sz w:val="20"/>
                <w:szCs w:val="20"/>
                <w:shd w:fill="auto" w:val="clear"/>
              </w:rPr>
              <w:t>еля:</w:t>
            </w:r>
          </w:p>
          <w:p>
            <w:pPr>
              <w:pStyle w:val="Normal"/>
              <w:tabs>
                <w:tab w:val="clear" w:pos="265"/>
                <w:tab w:val="left" w:pos="1276" w:leader="none"/>
              </w:tabs>
              <w:jc w:val="left"/>
              <w:rPr>
                <w:rFonts w:ascii="Times New Roman" w:hAnsi="Times New Roman"/>
                <w:sz w:val="20"/>
                <w:szCs w:val="20"/>
              </w:rPr>
            </w:pPr>
            <w:r>
              <w:rPr>
                <w:sz w:val="20"/>
                <w:szCs w:val="20"/>
              </w:rPr>
            </w:r>
          </w:p>
          <w:p>
            <w:pPr>
              <w:pStyle w:val="Normal"/>
              <w:tabs>
                <w:tab w:val="clear" w:pos="265"/>
                <w:tab w:val="left" w:pos="1276" w:leader="none"/>
              </w:tabs>
              <w:jc w:val="left"/>
              <w:rPr>
                <w:rFonts w:ascii="Times New Roman" w:hAnsi="Times New Roman"/>
                <w:sz w:val="20"/>
                <w:szCs w:val="20"/>
              </w:rPr>
            </w:pPr>
            <w:r>
              <w:rPr>
                <w:sz w:val="20"/>
                <w:szCs w:val="20"/>
              </w:rPr>
            </w:r>
          </w:p>
          <w:p>
            <w:pPr>
              <w:pStyle w:val="Normal"/>
              <w:tabs>
                <w:tab w:val="clear" w:pos="265"/>
                <w:tab w:val="left" w:pos="1276" w:leader="none"/>
              </w:tabs>
              <w:jc w:val="left"/>
              <w:rPr/>
            </w:pPr>
            <w:r>
              <w:rPr>
                <w:sz w:val="20"/>
                <w:szCs w:val="20"/>
              </w:rPr>
              <w:t>_______________________ /Дементьев М.С./</w:t>
            </w:r>
          </w:p>
          <w:p>
            <w:pPr>
              <w:pStyle w:val="Normal"/>
              <w:tabs>
                <w:tab w:val="clear" w:pos="265"/>
                <w:tab w:val="left" w:pos="1276" w:leader="none"/>
              </w:tabs>
              <w:jc w:val="left"/>
              <w:rPr/>
            </w:pPr>
            <w:r>
              <w:rPr>
                <w:sz w:val="20"/>
                <w:szCs w:val="20"/>
                <w:shd w:fill="auto" w:val="clear"/>
              </w:rPr>
              <w:t xml:space="preserve">М.П.                           </w:t>
            </w:r>
            <w:r>
              <w:rPr>
                <w:sz w:val="20"/>
                <w:szCs w:val="20"/>
                <w:shd w:fill="auto" w:val="clear"/>
                <w:lang w:val="ru-RU"/>
              </w:rPr>
              <w:t>Доверенность №88/4 от 07.12.2025г.</w:t>
            </w:r>
          </w:p>
        </w:tc>
      </w:tr>
    </w:tbl>
    <w:p>
      <w:pPr>
        <w:pStyle w:val="Normal"/>
        <w:widowControl/>
        <w:shd w:val="clear" w:color="auto" w:fill="auto"/>
        <w:tabs>
          <w:tab w:val="clear" w:pos="265"/>
          <w:tab w:val="left" w:pos="644" w:leader="none"/>
          <w:tab w:val="left" w:pos="709" w:leader="none"/>
          <w:tab w:val="left" w:pos="851" w:leader="none"/>
        </w:tabs>
        <w:spacing w:lineRule="auto" w:line="240"/>
        <w:ind w:left="0" w:right="0" w:hanging="0"/>
        <w:jc w:val="both"/>
        <w:rPr>
          <w:rFonts w:ascii="Times New Roman" w:hAnsi="Times New Roman"/>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pPr>
      <w:r>
        <w:rPr/>
      </w:r>
    </w:p>
    <w:sectPr>
      <w:footerReference w:type="default" r:id="rId4"/>
      <w:type w:val="nextPage"/>
      <w:pgSz w:orient="landscape" w:w="16838" w:h="11906"/>
      <w:pgMar w:left="567" w:right="567" w:header="0" w:top="850" w:footer="397" w:bottom="7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OpenSymbol">
    <w:altName w:val="Arial Unicode MS"/>
    <w:charset w:val="cc"/>
    <w:family w:val="roman"/>
    <w:pitch w:val="variable"/>
  </w:font>
  <w:font w:name="Tahoma">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b/>
        <w:bCs/>
        <w:sz w:val="18"/>
        <w:szCs w:val="18"/>
      </w:rPr>
      <w:t>Д</w:t>
    </w:r>
    <w:bookmarkStart w:id="2" w:name="__DdeLink__11964_1728624420"/>
    <w:r>
      <w:rPr>
        <w:b/>
        <w:bCs/>
        <w:sz w:val="18"/>
        <w:szCs w:val="18"/>
      </w:rPr>
      <w:t xml:space="preserve">оговор № </w:t>
    </w:r>
    <w:r>
      <w:rPr>
        <w:b/>
        <w:bCs/>
        <w:sz w:val="18"/>
        <w:szCs w:val="18"/>
        <w:lang w:val="en-US"/>
      </w:rPr>
      <w:t xml:space="preserve">Z26_ID_____ </w:t>
    </w:r>
    <w:r>
      <w:rPr>
        <w:b/>
        <w:bCs/>
        <w:sz w:val="18"/>
        <w:szCs w:val="18"/>
        <w:lang w:val="ru-RU"/>
      </w:rPr>
      <w:t>от __.__.2026г.</w:t>
    </w:r>
    <w:bookmarkEnd w:id="2"/>
    <w:r>
      <w:rPr>
        <w:b/>
        <w:bCs/>
        <w:sz w:val="18"/>
        <w:szCs w:val="18"/>
        <w:lang w:val="ru-RU"/>
      </w:rPr>
      <w:t xml:space="preserve">                                                                                                                                                        </w:t>
    </w:r>
    <w:r>
      <w:rPr>
        <w:b/>
        <w:bCs/>
        <w:sz w:val="18"/>
        <w:szCs w:val="18"/>
      </w:rPr>
      <w:fldChar w:fldCharType="begin"/>
    </w:r>
    <w:r>
      <w:rPr>
        <w:sz w:val="18"/>
        <w:b/>
        <w:szCs w:val="18"/>
        <w:bCs/>
      </w:rPr>
      <w:instrText> PAGE </w:instrText>
    </w:r>
    <w:r>
      <w:rPr>
        <w:sz w:val="18"/>
        <w:b/>
        <w:szCs w:val="18"/>
        <w:bCs/>
      </w:rPr>
      <w:fldChar w:fldCharType="separate"/>
    </w:r>
    <w:r>
      <w:rPr>
        <w:sz w:val="18"/>
        <w:b/>
        <w:szCs w:val="18"/>
        <w:bCs/>
      </w:rPr>
      <w:t>5</w:t>
    </w:r>
    <w:r>
      <w:rPr>
        <w:sz w:val="18"/>
        <w:b/>
        <w:szCs w:val="18"/>
        <w:bCs/>
      </w:rPr>
      <w:fldChar w:fldCharType="end"/>
    </w:r>
    <w:r>
      <w:rPr>
        <w:b/>
        <w:bCs/>
        <w:sz w:val="18"/>
        <w:szCs w:val="18"/>
        <w:lang w:val="ru-RU"/>
      </w:rPr>
      <w:t xml:space="preserve"> из </w:t>
    </w:r>
    <w:r>
      <w:rPr>
        <w:b/>
        <w:bCs/>
        <w:sz w:val="18"/>
        <w:szCs w:val="18"/>
      </w:rPr>
      <w:fldChar w:fldCharType="begin"/>
    </w:r>
    <w:r>
      <w:rPr>
        <w:sz w:val="18"/>
        <w:b/>
        <w:szCs w:val="18"/>
        <w:bCs/>
      </w:rPr>
      <w:instrText> NUMPAGES </w:instrText>
    </w:r>
    <w:r>
      <w:rPr>
        <w:sz w:val="18"/>
        <w:b/>
        <w:szCs w:val="18"/>
        <w:bCs/>
      </w:rPr>
      <w:fldChar w:fldCharType="separate"/>
    </w:r>
    <w:r>
      <w:rPr>
        <w:sz w:val="18"/>
        <w:b/>
        <w:szCs w:val="18"/>
        <w:bCs/>
      </w:rPr>
      <w:t>8</w:t>
    </w:r>
    <w:r>
      <w:rPr>
        <w:sz w:val="18"/>
        <w:b/>
        <w:szCs w:val="18"/>
        <w:bC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b/>
        <w:bCs/>
        <w:sz w:val="18"/>
        <w:szCs w:val="18"/>
        <w:lang w:val="ru-RU"/>
      </w:rPr>
      <w:t xml:space="preserve">к </w:t>
    </w:r>
    <w:r>
      <w:rPr>
        <w:b/>
        <w:bCs/>
        <w:sz w:val="18"/>
        <w:szCs w:val="18"/>
        <w:lang w:val="en-US"/>
      </w:rPr>
      <w:t>Договор</w:t>
    </w:r>
    <w:r>
      <w:rPr>
        <w:b/>
        <w:bCs/>
        <w:sz w:val="18"/>
        <w:szCs w:val="18"/>
        <w:lang w:val="ru-RU"/>
      </w:rPr>
      <w:t>у</w:t>
    </w:r>
    <w:r>
      <w:rPr>
        <w:b/>
        <w:bCs/>
        <w:sz w:val="18"/>
        <w:szCs w:val="18"/>
        <w:lang w:val="en-US"/>
      </w:rPr>
      <w:t xml:space="preserve"> № Z26_ID_____ </w:t>
    </w:r>
    <w:r>
      <w:rPr>
        <w:b/>
        <w:bCs/>
        <w:sz w:val="18"/>
        <w:szCs w:val="18"/>
        <w:lang w:val="ru-RU"/>
      </w:rPr>
      <w:t xml:space="preserve">от __.__.2026г.                                                                                                                                                                                                                                                                      </w:t>
    </w:r>
    <w:r>
      <w:rPr>
        <w:b/>
        <w:bCs/>
        <w:sz w:val="18"/>
        <w:szCs w:val="18"/>
      </w:rPr>
      <w:fldChar w:fldCharType="begin"/>
    </w:r>
    <w:r>
      <w:rPr>
        <w:sz w:val="18"/>
        <w:b/>
        <w:szCs w:val="18"/>
        <w:bCs/>
      </w:rPr>
      <w:instrText> PAGE </w:instrText>
    </w:r>
    <w:r>
      <w:rPr>
        <w:sz w:val="18"/>
        <w:b/>
        <w:szCs w:val="18"/>
        <w:bCs/>
      </w:rPr>
      <w:fldChar w:fldCharType="separate"/>
    </w:r>
    <w:r>
      <w:rPr>
        <w:sz w:val="18"/>
        <w:b/>
        <w:szCs w:val="18"/>
        <w:bCs/>
      </w:rPr>
      <w:t>8</w:t>
    </w:r>
    <w:r>
      <w:rPr>
        <w:sz w:val="18"/>
        <w:b/>
        <w:szCs w:val="18"/>
        <w:bCs/>
      </w:rPr>
      <w:fldChar w:fldCharType="end"/>
    </w:r>
    <w:r>
      <w:rPr>
        <w:b/>
        <w:bCs/>
        <w:sz w:val="18"/>
        <w:szCs w:val="18"/>
        <w:lang w:val="ru-RU"/>
      </w:rPr>
      <w:t xml:space="preserve"> из </w:t>
    </w:r>
    <w:r>
      <w:rPr>
        <w:b/>
        <w:bCs/>
        <w:sz w:val="18"/>
        <w:szCs w:val="18"/>
      </w:rPr>
      <w:fldChar w:fldCharType="begin"/>
    </w:r>
    <w:r>
      <w:rPr>
        <w:sz w:val="18"/>
        <w:b/>
        <w:szCs w:val="18"/>
        <w:bCs/>
      </w:rPr>
      <w:instrText> NUMPAGES </w:instrText>
    </w:r>
    <w:r>
      <w:rPr>
        <w:sz w:val="18"/>
        <w:b/>
        <w:szCs w:val="18"/>
        <w:bCs/>
      </w:rPr>
      <w:fldChar w:fldCharType="separate"/>
    </w:r>
    <w:r>
      <w:rPr>
        <w:sz w:val="18"/>
        <w:b/>
        <w:szCs w:val="18"/>
        <w:bCs/>
      </w:rPr>
      <w:t>8</w:t>
    </w:r>
    <w:r>
      <w:rPr>
        <w:sz w:val="18"/>
        <w:b/>
        <w:szCs w:val="18"/>
        <w:bC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44" w:hanging="360"/>
      </w:pPr>
      <w:rPr>
        <w:dstrike w:val="false"/>
        <w:strike w:val="false"/>
        <w:vertAlign w:val="baseline"/>
        <w:position w:val="0"/>
        <w:sz w:val="20"/>
        <w:sz w:val="20"/>
        <w:i w:val="false"/>
        <w:b/>
        <w:szCs w:val="20"/>
        <w:iCs w:val="false"/>
        <w:bCs/>
        <w:rFonts w:eastAsia="Arial" w:cs="Times New Roman"/>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26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673"/>
    <w:qFormat/>
    <w:pPr>
      <w:widowControl/>
      <w:overflowPunct w:val="true"/>
      <w:bidi w:val="0"/>
      <w:jc w:val="left"/>
    </w:pPr>
    <w:rPr>
      <w:rFonts w:ascii="Times New Roman" w:hAnsi="Times New Roman" w:eastAsia="Times New Roman" w:cs="Times New Roman"/>
      <w:color w:val="auto"/>
      <w:kern w:val="2"/>
      <w:sz w:val="24"/>
      <w:szCs w:val="24"/>
      <w:lang w:val="ru-RU" w:eastAsia="zh-CN" w:bidi="ar-SA"/>
    </w:rPr>
  </w:style>
  <w:style w:type="paragraph" w:styleId="1">
    <w:name w:val="Heading 1"/>
    <w:basedOn w:val="Normal"/>
    <w:link w:val="14"/>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link w:val="16"/>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link w:val="18"/>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link w:val="20"/>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link w:val="22"/>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link w:val="24"/>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link w:val="26"/>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link w:val="28"/>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link w:val="30"/>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link w:val="13"/>
    <w:uiPriority w:val="9"/>
    <w:qFormat/>
    <w:rPr>
      <w:rFonts w:ascii="Arial" w:hAnsi="Arial" w:eastAsia="Arial" w:cs="Arial"/>
      <w:sz w:val="40"/>
      <w:szCs w:val="40"/>
    </w:rPr>
  </w:style>
  <w:style w:type="character" w:styleId="Heading2Char">
    <w:name w:val="Heading 2 Char"/>
    <w:link w:val="15"/>
    <w:uiPriority w:val="9"/>
    <w:qFormat/>
    <w:rPr>
      <w:rFonts w:ascii="Arial" w:hAnsi="Arial" w:eastAsia="Arial" w:cs="Arial"/>
      <w:sz w:val="34"/>
    </w:rPr>
  </w:style>
  <w:style w:type="character" w:styleId="Heading3Char">
    <w:name w:val="Heading 3 Char"/>
    <w:link w:val="17"/>
    <w:uiPriority w:val="9"/>
    <w:qFormat/>
    <w:rPr>
      <w:rFonts w:ascii="Arial" w:hAnsi="Arial" w:eastAsia="Arial" w:cs="Arial"/>
      <w:sz w:val="30"/>
      <w:szCs w:val="30"/>
    </w:rPr>
  </w:style>
  <w:style w:type="character" w:styleId="Heading4Char">
    <w:name w:val="Heading 4 Char"/>
    <w:link w:val="19"/>
    <w:uiPriority w:val="9"/>
    <w:qFormat/>
    <w:rPr>
      <w:rFonts w:ascii="Arial" w:hAnsi="Arial" w:eastAsia="Arial" w:cs="Arial"/>
      <w:b/>
      <w:bCs/>
      <w:sz w:val="26"/>
      <w:szCs w:val="26"/>
    </w:rPr>
  </w:style>
  <w:style w:type="character" w:styleId="Heading5Char">
    <w:name w:val="Heading 5 Char"/>
    <w:link w:val="21"/>
    <w:uiPriority w:val="9"/>
    <w:qFormat/>
    <w:rPr>
      <w:rFonts w:ascii="Arial" w:hAnsi="Arial" w:eastAsia="Arial" w:cs="Arial"/>
      <w:b/>
      <w:bCs/>
      <w:sz w:val="24"/>
      <w:szCs w:val="24"/>
    </w:rPr>
  </w:style>
  <w:style w:type="character" w:styleId="Heading6Char">
    <w:name w:val="Heading 6 Char"/>
    <w:link w:val="23"/>
    <w:uiPriority w:val="9"/>
    <w:qFormat/>
    <w:rPr>
      <w:rFonts w:ascii="Arial" w:hAnsi="Arial" w:eastAsia="Arial" w:cs="Arial"/>
      <w:b/>
      <w:bCs/>
      <w:sz w:val="22"/>
      <w:szCs w:val="22"/>
    </w:rPr>
  </w:style>
  <w:style w:type="character" w:styleId="Heading7Char">
    <w:name w:val="Heading 7 Char"/>
    <w:link w:val="25"/>
    <w:uiPriority w:val="9"/>
    <w:qFormat/>
    <w:rPr>
      <w:rFonts w:ascii="Arial" w:hAnsi="Arial" w:eastAsia="Arial" w:cs="Arial"/>
      <w:b/>
      <w:bCs/>
      <w:i/>
      <w:iCs/>
      <w:sz w:val="22"/>
      <w:szCs w:val="22"/>
    </w:rPr>
  </w:style>
  <w:style w:type="character" w:styleId="Heading8Char">
    <w:name w:val="Heading 8 Char"/>
    <w:link w:val="27"/>
    <w:uiPriority w:val="9"/>
    <w:qFormat/>
    <w:rPr>
      <w:rFonts w:ascii="Arial" w:hAnsi="Arial" w:eastAsia="Arial" w:cs="Arial"/>
      <w:i/>
      <w:iCs/>
      <w:sz w:val="22"/>
      <w:szCs w:val="22"/>
    </w:rPr>
  </w:style>
  <w:style w:type="character" w:styleId="Heading9Char">
    <w:name w:val="Heading 9 Char"/>
    <w:link w:val="29"/>
    <w:uiPriority w:val="9"/>
    <w:qFormat/>
    <w:rPr>
      <w:rFonts w:ascii="Arial" w:hAnsi="Arial" w:eastAsia="Arial" w:cs="Arial"/>
      <w:i/>
      <w:iCs/>
      <w:sz w:val="21"/>
      <w:szCs w:val="21"/>
    </w:rPr>
  </w:style>
  <w:style w:type="character" w:styleId="TitleChar">
    <w:name w:val="Title Char"/>
    <w:link w:val="34"/>
    <w:uiPriority w:val="10"/>
    <w:qFormat/>
    <w:rPr>
      <w:sz w:val="48"/>
      <w:szCs w:val="48"/>
    </w:rPr>
  </w:style>
  <w:style w:type="character" w:styleId="SubtitleChar">
    <w:name w:val="Subtitle Char"/>
    <w:link w:val="36"/>
    <w:uiPriority w:val="11"/>
    <w:qFormat/>
    <w:rPr>
      <w:sz w:val="24"/>
      <w:szCs w:val="24"/>
    </w:rPr>
  </w:style>
  <w:style w:type="character" w:styleId="QuoteChar">
    <w:name w:val="Quote Char"/>
    <w:link w:val="38"/>
    <w:uiPriority w:val="29"/>
    <w:qFormat/>
    <w:rPr>
      <w:i/>
    </w:rPr>
  </w:style>
  <w:style w:type="character" w:styleId="IntenseQuoteChar">
    <w:name w:val="Intense Quote Char"/>
    <w:link w:val="40"/>
    <w:uiPriority w:val="30"/>
    <w:qFormat/>
    <w:rPr>
      <w:i/>
    </w:rPr>
  </w:style>
  <w:style w:type="character" w:styleId="HeaderChar">
    <w:name w:val="Header Char"/>
    <w:link w:val="42"/>
    <w:uiPriority w:val="99"/>
    <w:qFormat/>
    <w:rPr/>
  </w:style>
  <w:style w:type="character" w:styleId="FooterChar">
    <w:name w:val="Footer Char"/>
    <w:link w:val="44"/>
    <w:uiPriority w:val="99"/>
    <w:qFormat/>
    <w:rPr/>
  </w:style>
  <w:style w:type="character" w:styleId="CaptionChar">
    <w:name w:val="Caption Char"/>
    <w:link w:val="44"/>
    <w:uiPriority w:val="99"/>
    <w:qFormat/>
    <w:rPr/>
  </w:style>
  <w:style w:type="character" w:styleId="Style5">
    <w:name w:val="Интернет-ссылка"/>
    <w:link w:val="673"/>
    <w:rPr>
      <w:color w:val="0000FF"/>
      <w:u w:val="single"/>
    </w:rPr>
  </w:style>
  <w:style w:type="character" w:styleId="FootnoteTextChar">
    <w:name w:val="Footnote Text Char"/>
    <w:link w:val="175"/>
    <w:uiPriority w:val="99"/>
    <w:qFormat/>
    <w:rPr>
      <w:sz w:val="18"/>
    </w:rPr>
  </w:style>
  <w:style w:type="character" w:styleId="Style6">
    <w:name w:val="Привязка сноски"/>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link w:val="178"/>
    <w:uiPriority w:val="99"/>
    <w:qFormat/>
    <w:rPr>
      <w:sz w:val="20"/>
    </w:rPr>
  </w:style>
  <w:style w:type="character" w:styleId="Style7">
    <w:name w:val="Привязка концевой сноски"/>
    <w:rPr>
      <w:vertAlign w:val="superscript"/>
    </w:rPr>
  </w:style>
  <w:style w:type="character" w:styleId="EndnoteCharacters">
    <w:name w:val="Endnote Characters"/>
    <w:uiPriority w:val="99"/>
    <w:semiHidden/>
    <w:unhideWhenUsed/>
    <w:qFormat/>
    <w:rPr>
      <w:vertAlign w:val="superscript"/>
    </w:rPr>
  </w:style>
  <w:style w:type="character" w:styleId="WW8Num1z0">
    <w:name w:val="WW8Num1z0"/>
    <w:qFormat/>
    <w:rPr>
      <w:rFonts w:ascii="Times New Roman" w:hAnsi="Times New Roman" w:eastAsia="Arial" w:cs="Times New Roman"/>
      <w:b w:val="false"/>
      <w:bCs/>
      <w:i w:val="false"/>
      <w:iCs w:val="false"/>
      <w:strike w:val="false"/>
      <w:dstrike w:val="false"/>
      <w:color w:val="000000"/>
      <w:position w:val="0"/>
      <w:sz w:val="20"/>
      <w:sz w:val="20"/>
      <w:szCs w:val="20"/>
      <w:vertAlign w:val="baseline"/>
    </w:rPr>
  </w:style>
  <w:style w:type="character" w:styleId="WW8Num2z0">
    <w:name w:val="WW8Num2z0"/>
    <w:qFormat/>
    <w:rPr>
      <w:b/>
    </w:rPr>
  </w:style>
  <w:style w:type="character" w:styleId="WW8Num2z1">
    <w:name w:val="WW8Num2z1"/>
    <w:link w:val="673"/>
    <w:qFormat/>
    <w:rPr>
      <w:rFonts w:ascii="Symbol" w:hAnsi="Symbol" w:cs="Symbol"/>
      <w:b/>
    </w:rPr>
  </w:style>
  <w:style w:type="character" w:styleId="WW8Num2z3">
    <w:name w:val="WW8Num2z3"/>
    <w:link w:val="673"/>
    <w:qFormat/>
    <w:rPr/>
  </w:style>
  <w:style w:type="character" w:styleId="WW8Num2z4">
    <w:name w:val="WW8Num2z4"/>
    <w:link w:val="673"/>
    <w:qFormat/>
    <w:rPr/>
  </w:style>
  <w:style w:type="character" w:styleId="WW8Num2z5">
    <w:name w:val="WW8Num2z5"/>
    <w:link w:val="673"/>
    <w:qFormat/>
    <w:rPr/>
  </w:style>
  <w:style w:type="character" w:styleId="WW8Num2z6">
    <w:name w:val="WW8Num2z6"/>
    <w:link w:val="673"/>
    <w:qFormat/>
    <w:rPr/>
  </w:style>
  <w:style w:type="character" w:styleId="WW8Num2z7">
    <w:name w:val="WW8Num2z7"/>
    <w:link w:val="673"/>
    <w:qFormat/>
    <w:rPr/>
  </w:style>
  <w:style w:type="character" w:styleId="WW8Num2z8">
    <w:name w:val="WW8Num2z8"/>
    <w:link w:val="673"/>
    <w:qFormat/>
    <w:rPr/>
  </w:style>
  <w:style w:type="character" w:styleId="WW8Num3z0">
    <w:name w:val="WW8Num3z0"/>
    <w:link w:val="673"/>
    <w:qFormat/>
    <w:rPr/>
  </w:style>
  <w:style w:type="character" w:styleId="WW8Num3z1">
    <w:name w:val="WW8Num3z1"/>
    <w:link w:val="673"/>
    <w:qFormat/>
    <w:rPr/>
  </w:style>
  <w:style w:type="character" w:styleId="WW8Num3z2">
    <w:name w:val="WW8Num3z2"/>
    <w:link w:val="673"/>
    <w:qFormat/>
    <w:rPr/>
  </w:style>
  <w:style w:type="character" w:styleId="WW8Num3z3">
    <w:name w:val="WW8Num3z3"/>
    <w:link w:val="673"/>
    <w:qFormat/>
    <w:rPr/>
  </w:style>
  <w:style w:type="character" w:styleId="WW8Num3z4">
    <w:name w:val="WW8Num3z4"/>
    <w:link w:val="673"/>
    <w:qFormat/>
    <w:rPr/>
  </w:style>
  <w:style w:type="character" w:styleId="WW8Num3z5">
    <w:name w:val="WW8Num3z5"/>
    <w:link w:val="673"/>
    <w:qFormat/>
    <w:rPr/>
  </w:style>
  <w:style w:type="character" w:styleId="WW8Num3z6">
    <w:name w:val="WW8Num3z6"/>
    <w:link w:val="673"/>
    <w:qFormat/>
    <w:rPr/>
  </w:style>
  <w:style w:type="character" w:styleId="WW8Num3z7">
    <w:name w:val="WW8Num3z7"/>
    <w:link w:val="673"/>
    <w:qFormat/>
    <w:rPr/>
  </w:style>
  <w:style w:type="character" w:styleId="WW8Num3z8">
    <w:name w:val="WW8Num3z8"/>
    <w:link w:val="673"/>
    <w:qFormat/>
    <w:rPr/>
  </w:style>
  <w:style w:type="character" w:styleId="WW8Num4z0">
    <w:name w:val="WW8Num4z0"/>
    <w:link w:val="673"/>
    <w:qFormat/>
    <w:rPr/>
  </w:style>
  <w:style w:type="character" w:styleId="WW8Num4z1">
    <w:name w:val="WW8Num4z1"/>
    <w:link w:val="673"/>
    <w:qFormat/>
    <w:rPr/>
  </w:style>
  <w:style w:type="character" w:styleId="WW8Num4z2">
    <w:name w:val="WW8Num4z2"/>
    <w:link w:val="673"/>
    <w:qFormat/>
    <w:rPr/>
  </w:style>
  <w:style w:type="character" w:styleId="WW8Num4z3">
    <w:name w:val="WW8Num4z3"/>
    <w:link w:val="673"/>
    <w:qFormat/>
    <w:rPr/>
  </w:style>
  <w:style w:type="character" w:styleId="WW8Num4z4">
    <w:name w:val="WW8Num4z4"/>
    <w:link w:val="673"/>
    <w:qFormat/>
    <w:rPr/>
  </w:style>
  <w:style w:type="character" w:styleId="WW8Num4z5">
    <w:name w:val="WW8Num4z5"/>
    <w:link w:val="673"/>
    <w:qFormat/>
    <w:rPr/>
  </w:style>
  <w:style w:type="character" w:styleId="WW8Num4z6">
    <w:name w:val="WW8Num4z6"/>
    <w:link w:val="673"/>
    <w:qFormat/>
    <w:rPr/>
  </w:style>
  <w:style w:type="character" w:styleId="WW8Num4z7">
    <w:name w:val="WW8Num4z7"/>
    <w:link w:val="673"/>
    <w:qFormat/>
    <w:rPr/>
  </w:style>
  <w:style w:type="character" w:styleId="WW8Num4z8">
    <w:name w:val="WW8Num4z8"/>
    <w:link w:val="673"/>
    <w:qFormat/>
    <w:rPr/>
  </w:style>
  <w:style w:type="character" w:styleId="Style8">
    <w:name w:val="Основной шрифт абзаца"/>
    <w:link w:val="673"/>
    <w:qFormat/>
    <w:rPr/>
  </w:style>
  <w:style w:type="character" w:styleId="11">
    <w:name w:val="Основной шрифт абзаца11"/>
    <w:link w:val="673"/>
    <w:qFormat/>
    <w:rPr/>
  </w:style>
  <w:style w:type="character" w:styleId="AbsatzStandardschriftart">
    <w:name w:val="Absatz-Standardschriftart"/>
    <w:link w:val="673"/>
    <w:qFormat/>
    <w:rPr/>
  </w:style>
  <w:style w:type="character" w:styleId="WWAbsatzStandardschriftart">
    <w:name w:val="WW-Absatz-Standardschriftart"/>
    <w:link w:val="673"/>
    <w:qFormat/>
    <w:rPr/>
  </w:style>
  <w:style w:type="character" w:styleId="WWAbsatzStandardschriftart1">
    <w:name w:val="WW-Absatz-Standardschriftart1"/>
    <w:link w:val="673"/>
    <w:qFormat/>
    <w:rPr/>
  </w:style>
  <w:style w:type="character" w:styleId="WWAbsatzStandardschriftart11">
    <w:name w:val="WW-Absatz-Standardschriftart11"/>
    <w:link w:val="673"/>
    <w:qFormat/>
    <w:rPr/>
  </w:style>
  <w:style w:type="character" w:styleId="WWAbsatzStandardschriftart111">
    <w:name w:val="WW-Absatz-Standardschriftart111"/>
    <w:link w:val="673"/>
    <w:qFormat/>
    <w:rPr/>
  </w:style>
  <w:style w:type="character" w:styleId="WWAbsatzStandardschriftart1111">
    <w:name w:val="WW-Absatz-Standardschriftart1111"/>
    <w:link w:val="673"/>
    <w:qFormat/>
    <w:rPr/>
  </w:style>
  <w:style w:type="character" w:styleId="WWAbsatzStandardschriftart11111">
    <w:name w:val="WW-Absatz-Standardschriftart11111"/>
    <w:link w:val="673"/>
    <w:qFormat/>
    <w:rPr/>
  </w:style>
  <w:style w:type="character" w:styleId="WWAbsatzStandardschriftart111111">
    <w:name w:val="WW-Absatz-Standardschriftart111111"/>
    <w:link w:val="673"/>
    <w:qFormat/>
    <w:rPr/>
  </w:style>
  <w:style w:type="character" w:styleId="WWAbsatzStandardschriftart1111111">
    <w:name w:val="WW-Absatz-Standardschriftart1111111"/>
    <w:link w:val="673"/>
    <w:qFormat/>
    <w:rPr/>
  </w:style>
  <w:style w:type="character" w:styleId="WWAbsatzStandardschriftart11111111">
    <w:name w:val="WW-Absatz-Standardschriftart11111111"/>
    <w:link w:val="673"/>
    <w:qFormat/>
    <w:rPr/>
  </w:style>
  <w:style w:type="character" w:styleId="WWAbsatzStandardschriftart111111111">
    <w:name w:val="WW-Absatz-Standardschriftart111111111"/>
    <w:link w:val="673"/>
    <w:qFormat/>
    <w:rPr/>
  </w:style>
  <w:style w:type="character" w:styleId="WWAbsatzStandardschriftart1111111111">
    <w:name w:val="WW-Absatz-Standardschriftart1111111111"/>
    <w:link w:val="673"/>
    <w:qFormat/>
    <w:rPr/>
  </w:style>
  <w:style w:type="character" w:styleId="WWAbsatzStandardschriftart11111111111">
    <w:name w:val="WW-Absatz-Standardschriftart11111111111"/>
    <w:link w:val="673"/>
    <w:qFormat/>
    <w:rPr/>
  </w:style>
  <w:style w:type="character" w:styleId="WWAbsatzStandardschriftart111111111111">
    <w:name w:val="WW-Absatz-Standardschriftart111111111111"/>
    <w:link w:val="673"/>
    <w:qFormat/>
    <w:rPr/>
  </w:style>
  <w:style w:type="character" w:styleId="WW8Num2z2">
    <w:name w:val="WW8Num2z2"/>
    <w:link w:val="673"/>
    <w:qFormat/>
    <w:rPr>
      <w:b w:val="false"/>
      <w:sz w:val="22"/>
      <w:szCs w:val="22"/>
    </w:rPr>
  </w:style>
  <w:style w:type="character" w:styleId="WWAbsatzStandardschriftart1111111111111">
    <w:name w:val="WW-Absatz-Standardschriftart1111111111111"/>
    <w:link w:val="673"/>
    <w:qFormat/>
    <w:rPr/>
  </w:style>
  <w:style w:type="character" w:styleId="WWAbsatzStandardschriftart11111111111111">
    <w:name w:val="WW-Absatz-Standardschriftart11111111111111"/>
    <w:link w:val="673"/>
    <w:qFormat/>
    <w:rPr/>
  </w:style>
  <w:style w:type="character" w:styleId="WWAbsatzStandardschriftart111111111111111">
    <w:name w:val="WW-Absatz-Standardschriftart111111111111111"/>
    <w:link w:val="673"/>
    <w:qFormat/>
    <w:rPr/>
  </w:style>
  <w:style w:type="character" w:styleId="WWAbsatzStandardschriftart1111111111111111">
    <w:name w:val="WW-Absatz-Standardschriftart1111111111111111"/>
    <w:link w:val="673"/>
    <w:qFormat/>
    <w:rPr/>
  </w:style>
  <w:style w:type="character" w:styleId="WWAbsatzStandardschriftart11111111111111111">
    <w:name w:val="WW-Absatz-Standardschriftart11111111111111111"/>
    <w:link w:val="673"/>
    <w:qFormat/>
    <w:rPr/>
  </w:style>
  <w:style w:type="character" w:styleId="WWAbsatzStandardschriftart111111111111111111">
    <w:name w:val="WW-Absatz-Standardschriftart111111111111111111"/>
    <w:link w:val="673"/>
    <w:qFormat/>
    <w:rPr/>
  </w:style>
  <w:style w:type="character" w:styleId="WWAbsatzStandardschriftart1111111111111111111">
    <w:name w:val="WW-Absatz-Standardschriftart1111111111111111111"/>
    <w:link w:val="673"/>
    <w:qFormat/>
    <w:rPr/>
  </w:style>
  <w:style w:type="character" w:styleId="WWAbsatzStandardschriftart11111111111111111111">
    <w:name w:val="WW-Absatz-Standardschriftart11111111111111111111"/>
    <w:link w:val="673"/>
    <w:qFormat/>
    <w:rPr/>
  </w:style>
  <w:style w:type="character" w:styleId="WWAbsatzStandardschriftart111111111111111111111">
    <w:name w:val="WW-Absatz-Standardschriftart111111111111111111111"/>
    <w:link w:val="673"/>
    <w:qFormat/>
    <w:rPr/>
  </w:style>
  <w:style w:type="character" w:styleId="WWAbsatzStandardschriftart1111111111111111111111">
    <w:name w:val="WW-Absatz-Standardschriftart1111111111111111111111"/>
    <w:link w:val="673"/>
    <w:qFormat/>
    <w:rPr/>
  </w:style>
  <w:style w:type="character" w:styleId="WWAbsatzStandardschriftart11111111111111111111111">
    <w:name w:val="WW-Absatz-Standardschriftart11111111111111111111111"/>
    <w:link w:val="673"/>
    <w:qFormat/>
    <w:rPr/>
  </w:style>
  <w:style w:type="character" w:styleId="WWAbsatzStandardschriftart111111111111111111111111">
    <w:name w:val="WW-Absatz-Standardschriftart111111111111111111111111"/>
    <w:link w:val="673"/>
    <w:qFormat/>
    <w:rPr/>
  </w:style>
  <w:style w:type="character" w:styleId="91">
    <w:name w:val="Основной шрифт абзаца9"/>
    <w:link w:val="673"/>
    <w:qFormat/>
    <w:rPr/>
  </w:style>
  <w:style w:type="character" w:styleId="WWAbsatzStandardschriftart1111111111111111111111111">
    <w:name w:val="WW-Absatz-Standardschriftart1111111111111111111111111"/>
    <w:link w:val="673"/>
    <w:qFormat/>
    <w:rPr/>
  </w:style>
  <w:style w:type="character" w:styleId="WWAbsatzStandardschriftart11111111111111111111111111">
    <w:name w:val="WW-Absatz-Standardschriftart11111111111111111111111111"/>
    <w:link w:val="673"/>
    <w:qFormat/>
    <w:rPr/>
  </w:style>
  <w:style w:type="character" w:styleId="WWAbsatzStandardschriftart111111111111111111111111111">
    <w:name w:val="WW-Absatz-Standardschriftart111111111111111111111111111"/>
    <w:link w:val="673"/>
    <w:qFormat/>
    <w:rPr/>
  </w:style>
  <w:style w:type="character" w:styleId="WWAbsatzStandardschriftart1111111111111111111111111111">
    <w:name w:val="WW-Absatz-Standardschriftart1111111111111111111111111111"/>
    <w:link w:val="673"/>
    <w:qFormat/>
    <w:rPr/>
  </w:style>
  <w:style w:type="character" w:styleId="WWAbsatzStandardschriftart11111111111111111111111111111">
    <w:name w:val="WW-Absatz-Standardschriftart11111111111111111111111111111"/>
    <w:link w:val="673"/>
    <w:qFormat/>
    <w:rPr/>
  </w:style>
  <w:style w:type="character" w:styleId="WWAbsatzStandardschriftart111111111111111111111111111111">
    <w:name w:val="WW-Absatz-Standardschriftart111111111111111111111111111111"/>
    <w:link w:val="673"/>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link w:val="673"/>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link w:val="673"/>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link w:val="673"/>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81">
    <w:name w:val="Основной шрифт абзаца8"/>
    <w:qFormat/>
    <w:rPr/>
  </w:style>
  <w:style w:type="character" w:styleId="WWAbsatzStandardschriftart11111111111111111111111111111111111111111">
    <w:name w:val="WW-Absatz-Standardschriftart11111111111111111111111111111111111111111"/>
    <w:link w:val="673"/>
    <w:qFormat/>
    <w:rPr/>
  </w:style>
  <w:style w:type="character" w:styleId="WWAbsatzStandardschriftart111111111111111111111111111111111111111111">
    <w:name w:val="WW-Absatz-Standardschriftart111111111111111111111111111111111111111111"/>
    <w:link w:val="673"/>
    <w:qFormat/>
    <w:rPr/>
  </w:style>
  <w:style w:type="character" w:styleId="WWAbsatzStandardschriftart1111111111111111111111111111111111111111111">
    <w:name w:val="WW-Absatz-Standardschriftart1111111111111111111111111111111111111111111"/>
    <w:link w:val="673"/>
    <w:qFormat/>
    <w:rPr/>
  </w:style>
  <w:style w:type="character" w:styleId="WWAbsatzStandardschriftart11111111111111111111111111111111111111111111">
    <w:name w:val="WW-Absatz-Standardschriftart11111111111111111111111111111111111111111111"/>
    <w:link w:val="673"/>
    <w:qFormat/>
    <w:rPr/>
  </w:style>
  <w:style w:type="character" w:styleId="WWAbsatzStandardschriftart111111111111111111111111111111111111111111111">
    <w:name w:val="WW-Absatz-Standardschriftart111111111111111111111111111111111111111111111"/>
    <w:link w:val="673"/>
    <w:qFormat/>
    <w:rPr/>
  </w:style>
  <w:style w:type="character" w:styleId="WWAbsatzStandardschriftart1111111111111111111111111111111111111111111111">
    <w:name w:val="WW-Absatz-Standardschriftart1111111111111111111111111111111111111111111111"/>
    <w:link w:val="673"/>
    <w:qFormat/>
    <w:rPr/>
  </w:style>
  <w:style w:type="character" w:styleId="WWAbsatzStandardschriftart11111111111111111111111111111111111111111111111">
    <w:name w:val="WW-Absatz-Standardschriftart11111111111111111111111111111111111111111111111"/>
    <w:link w:val="673"/>
    <w:qFormat/>
    <w:rPr/>
  </w:style>
  <w:style w:type="character" w:styleId="WWAbsatzStandardschriftart111111111111111111111111111111111111111111111111">
    <w:name w:val="WW-Absatz-Standardschriftart111111111111111111111111111111111111111111111111"/>
    <w:link w:val="673"/>
    <w:qFormat/>
    <w:rPr/>
  </w:style>
  <w:style w:type="character" w:styleId="WWAbsatzStandardschriftart1111111111111111111111111111111111111111111111111">
    <w:name w:val="WW-Absatz-Standardschriftart1111111111111111111111111111111111111111111111111"/>
    <w:link w:val="673"/>
    <w:qFormat/>
    <w:rPr/>
  </w:style>
  <w:style w:type="character" w:styleId="WWAbsatzStandardschriftart11111111111111111111111111111111111111111111111111">
    <w:name w:val="WW-Absatz-Standardschriftart11111111111111111111111111111111111111111111111111"/>
    <w:link w:val="673"/>
    <w:qFormat/>
    <w:rPr/>
  </w:style>
  <w:style w:type="character" w:styleId="WWAbsatzStandardschriftart111111111111111111111111111111111111111111111111111">
    <w:name w:val="WW-Absatz-Standardschriftart111111111111111111111111111111111111111111111111111"/>
    <w:link w:val="673"/>
    <w:qFormat/>
    <w:rPr/>
  </w:style>
  <w:style w:type="character" w:styleId="WWAbsatzStandardschriftart1111111111111111111111111111111111111111111111111111">
    <w:name w:val="WW-Absatz-Standardschriftart1111111111111111111111111111111111111111111111111111"/>
    <w:link w:val="673"/>
    <w:qFormat/>
    <w:rPr/>
  </w:style>
  <w:style w:type="character" w:styleId="WWAbsatzStandardschriftart11111111111111111111111111111111111111111111111111111">
    <w:name w:val="WW-Absatz-Standardschriftart11111111111111111111111111111111111111111111111111111"/>
    <w:link w:val="673"/>
    <w:qFormat/>
    <w:rPr/>
  </w:style>
  <w:style w:type="character" w:styleId="71">
    <w:name w:val="Основной шрифт абзаца7"/>
    <w:link w:val="673"/>
    <w:qFormat/>
    <w:rPr/>
  </w:style>
  <w:style w:type="character" w:styleId="WWAbsatzStandardschriftart111111111111111111111111111111111111111111111111111111">
    <w:name w:val="WW-Absatz-Standardschriftart111111111111111111111111111111111111111111111111111111"/>
    <w:link w:val="673"/>
    <w:qFormat/>
    <w:rPr/>
  </w:style>
  <w:style w:type="character" w:styleId="WWAbsatzStandardschriftart1111111111111111111111111111111111111111111111111111111">
    <w:name w:val="WW-Absatz-Standardschriftart1111111111111111111111111111111111111111111111111111111"/>
    <w:link w:val="673"/>
    <w:qFormat/>
    <w:rPr/>
  </w:style>
  <w:style w:type="character" w:styleId="WWAbsatzStandardschriftart11111111111111111111111111111111111111111111111111111111">
    <w:name w:val="WW-Absatz-Standardschriftart11111111111111111111111111111111111111111111111111111111"/>
    <w:link w:val="673"/>
    <w:qFormat/>
    <w:rPr/>
  </w:style>
  <w:style w:type="character" w:styleId="WWAbsatzStandardschriftart111111111111111111111111111111111111111111111111111111111">
    <w:name w:val="WW-Absatz-Standardschriftart111111111111111111111111111111111111111111111111111111111"/>
    <w:link w:val="673"/>
    <w:qFormat/>
    <w:rPr/>
  </w:style>
  <w:style w:type="character" w:styleId="WWAbsatzStandardschriftart1111111111111111111111111111111111111111111111111111111111">
    <w:name w:val="WW-Absatz-Standardschriftart1111111111111111111111111111111111111111111111111111111111"/>
    <w:link w:val="673"/>
    <w:qFormat/>
    <w:rPr/>
  </w:style>
  <w:style w:type="character" w:styleId="WWAbsatzStandardschriftart11111111111111111111111111111111111111111111111111111111111">
    <w:name w:val="WW-Absatz-Standardschriftart11111111111111111111111111111111111111111111111111111111111"/>
    <w:link w:val="673"/>
    <w:qFormat/>
    <w:rPr/>
  </w:style>
  <w:style w:type="character" w:styleId="WWAbsatzStandardschriftart111111111111111111111111111111111111111111111111111111111111">
    <w:name w:val="WW-Absatz-Standardschriftart111111111111111111111111111111111111111111111111111111111111"/>
    <w:link w:val="673"/>
    <w:qFormat/>
    <w:rPr/>
  </w:style>
  <w:style w:type="character" w:styleId="WWAbsatzStandardschriftart1111111111111111111111111111111111111111111111111111111111111">
    <w:name w:val="WW-Absatz-Standardschriftart1111111111111111111111111111111111111111111111111111111111111"/>
    <w:link w:val="673"/>
    <w:qFormat/>
    <w:rPr/>
  </w:style>
  <w:style w:type="character" w:styleId="WWAbsatzStandardschriftart11111111111111111111111111111111111111111111111111111111111111">
    <w:name w:val="WW-Absatz-Standardschriftart11111111111111111111111111111111111111111111111111111111111111"/>
    <w:link w:val="673"/>
    <w:qFormat/>
    <w:rPr/>
  </w:style>
  <w:style w:type="character" w:styleId="WWAbsatzStandardschriftart111111111111111111111111111111111111111111111111111111111111111">
    <w:name w:val="WW-Absatz-Standardschriftart111111111111111111111111111111111111111111111111111111111111111"/>
    <w:link w:val="673"/>
    <w:qFormat/>
    <w:rPr/>
  </w:style>
  <w:style w:type="character" w:styleId="WWAbsatzStandardschriftart1111111111111111111111111111111111111111111111111111111111111111">
    <w:name w:val="WW-Absatz-Standardschriftart1111111111111111111111111111111111111111111111111111111111111111"/>
    <w:link w:val="673"/>
    <w:qFormat/>
    <w:rPr/>
  </w:style>
  <w:style w:type="character" w:styleId="WWAbsatzStandardschriftart11111111111111111111111111111111111111111111111111111111111111111">
    <w:name w:val="WW-Absatz-Standardschriftart11111111111111111111111111111111111111111111111111111111111111111"/>
    <w:link w:val="673"/>
    <w:qFormat/>
    <w:rPr/>
  </w:style>
  <w:style w:type="character" w:styleId="WWAbsatzStandardschriftart111111111111111111111111111111111111111111111111111111111111111111">
    <w:name w:val="WW-Absatz-Standardschriftart111111111111111111111111111111111111111111111111111111111111111111"/>
    <w:link w:val="673"/>
    <w:qFormat/>
    <w:rPr/>
  </w:style>
  <w:style w:type="character" w:styleId="WWAbsatzStandardschriftart1111111111111111111111111111111111111111111111111111111111111111111">
    <w:name w:val="WW-Absatz-Standardschriftart1111111111111111111111111111111111111111111111111111111111111111111"/>
    <w:link w:val="673"/>
    <w:qFormat/>
    <w:rPr/>
  </w:style>
  <w:style w:type="character" w:styleId="WWAbsatzStandardschriftart11111111111111111111111111111111111111111111111111111111111111111111">
    <w:name w:val="WW-Absatz-Standardschriftart11111111111111111111111111111111111111111111111111111111111111111111"/>
    <w:link w:val="673"/>
    <w:qFormat/>
    <w:rPr/>
  </w:style>
  <w:style w:type="character" w:styleId="WWAbsatzStandardschriftart111111111111111111111111111111111111111111111111111111111111111111111">
    <w:name w:val="WW-Absatz-Standardschriftart111111111111111111111111111111111111111111111111111111111111111111111"/>
    <w:link w:val="673"/>
    <w:qFormat/>
    <w:rPr/>
  </w:style>
  <w:style w:type="character" w:styleId="WWAbsatzStandardschriftart1111111111111111111111111111111111111111111111111111111111111111111111">
    <w:name w:val="WW-Absatz-Standardschriftart1111111111111111111111111111111111111111111111111111111111111111111111"/>
    <w:link w:val="673"/>
    <w:qFormat/>
    <w:rPr/>
  </w:style>
  <w:style w:type="character" w:styleId="WWAbsatzStandardschriftart11111111111111111111111111111111111111111111111111111111111111111111111">
    <w:name w:val="WW-Absatz-Standardschriftart11111111111111111111111111111111111111111111111111111111111111111111111"/>
    <w:link w:val="673"/>
    <w:qFormat/>
    <w:rPr/>
  </w:style>
  <w:style w:type="character" w:styleId="WWAbsatzStandardschriftart111111111111111111111111111111111111111111111111111111111111111111111111">
    <w:name w:val="WW-Absatz-Standardschriftart111111111111111111111111111111111111111111111111111111111111111111111111"/>
    <w:link w:val="673"/>
    <w:qFormat/>
    <w:rPr/>
  </w:style>
  <w:style w:type="character" w:styleId="WWAbsatzStandardschriftart1111111111111111111111111111111111111111111111111111111111111111111111111">
    <w:name w:val="WW-Absatz-Standardschriftart1111111111111111111111111111111111111111111111111111111111111111111111111"/>
    <w:link w:val="673"/>
    <w:qFormat/>
    <w:rPr/>
  </w:style>
  <w:style w:type="character" w:styleId="WWAbsatzStandardschriftart11111111111111111111111111111111111111111111111111111111111111111111111111">
    <w:name w:val="WW-Absatz-Standardschriftart11111111111111111111111111111111111111111111111111111111111111111111111111"/>
    <w:link w:val="673"/>
    <w:qFormat/>
    <w:rPr/>
  </w:style>
  <w:style w:type="character" w:styleId="WWAbsatzStandardschriftart111111111111111111111111111111111111111111111111111111111111111111111111111">
    <w:name w:val="WW-Absatz-Standardschriftart111111111111111111111111111111111111111111111111111111111111111111111111111"/>
    <w:link w:val="673"/>
    <w:qFormat/>
    <w:rPr/>
  </w:style>
  <w:style w:type="character" w:styleId="WWAbsatzStandardschriftart1111111111111111111111111111111111111111111111111111111111111111111111111111">
    <w:name w:val="WW-Absatz-Standardschriftart1111111111111111111111111111111111111111111111111111111111111111111111111111"/>
    <w:link w:val="673"/>
    <w:qFormat/>
    <w:rPr/>
  </w:style>
  <w:style w:type="character" w:styleId="WWAbsatzStandardschriftart11111111111111111111111111111111111111111111111111111111111111111111111111111">
    <w:name w:val="WW-Absatz-Standardschriftart11111111111111111111111111111111111111111111111111111111111111111111111111111"/>
    <w:link w:val="673"/>
    <w:qFormat/>
    <w:rPr/>
  </w:style>
  <w:style w:type="character" w:styleId="WWAbsatzStandardschriftart111111111111111111111111111111111111111111111111111111111111111111111111111111">
    <w:name w:val="WW-Absatz-Standardschriftart111111111111111111111111111111111111111111111111111111111111111111111111111111"/>
    <w:link w:val="673"/>
    <w:qFormat/>
    <w:rPr/>
  </w:style>
  <w:style w:type="character" w:styleId="WWAbsatzStandardschriftart1111111111111111111111111111111111111111111111111111111111111111111111111111111">
    <w:name w:val="WW-Absatz-Standardschriftart1111111111111111111111111111111111111111111111111111111111111111111111111111111"/>
    <w:link w:val="673"/>
    <w:qFormat/>
    <w:rPr/>
  </w:style>
  <w:style w:type="character" w:styleId="WWAbsatzStandardschriftart11111111111111111111111111111111111111111111111111111111111111111111111111111111">
    <w:name w:val="WW-Absatz-Standardschriftart11111111111111111111111111111111111111111111111111111111111111111111111111111111"/>
    <w:link w:val="673"/>
    <w:qFormat/>
    <w:rPr/>
  </w:style>
  <w:style w:type="character" w:styleId="WWAbsatzStandardschriftart111111111111111111111111111111111111111111111111111111111111111111111111111111111">
    <w:name w:val="WW-Absatz-Standardschriftart111111111111111111111111111111111111111111111111111111111111111111111111111111111"/>
    <w:link w:val="673"/>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link w:val="673"/>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link w:val="673"/>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link w:val="673"/>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link w:val="673"/>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link w:val="673"/>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link w:val="673"/>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link w:val="673"/>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link w:val="673"/>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link w:val="673"/>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link w:val="673"/>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link w:val="673"/>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link w:val="673"/>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link w:val="673"/>
    <w:qFormat/>
    <w:rPr/>
  </w:style>
  <w:style w:type="character" w:styleId="61">
    <w:name w:val="Основной шрифт абзаца6"/>
    <w:link w:val="673"/>
    <w:qFormat/>
    <w:rPr/>
  </w:style>
  <w:style w:type="character" w:styleId="51">
    <w:name w:val="Основной шрифт абзаца5"/>
    <w:link w:val="673"/>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link w:val="673"/>
    <w:qFormat/>
    <w:rPr/>
  </w:style>
  <w:style w:type="character" w:styleId="41">
    <w:name w:val="Основной шрифт абзаца4"/>
    <w:link w:val="673"/>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link w:val="673"/>
    <w:qFormat/>
    <w:rPr/>
  </w:style>
  <w:style w:type="character" w:styleId="WW8Num5z0">
    <w:name w:val="WW8Num5z0"/>
    <w:link w:val="673"/>
    <w:qFormat/>
    <w:rPr>
      <w:b/>
    </w:rPr>
  </w:style>
  <w:style w:type="character" w:styleId="WW8Num5z1">
    <w:name w:val="WW8Num5z1"/>
    <w:link w:val="673"/>
    <w:qFormat/>
    <w:rPr>
      <w:rFonts w:ascii="Symbol" w:hAnsi="Symbol" w:cs="Symbol"/>
      <w:b/>
    </w:rPr>
  </w:style>
  <w:style w:type="character"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link w:val="673"/>
    <w:qFormat/>
    <w:rPr/>
  </w:style>
  <w:style w:type="character" w:styleId="WW8Num6z0">
    <w:name w:val="WW8Num6z0"/>
    <w:link w:val="673"/>
    <w:qFormat/>
    <w:rPr>
      <w:b/>
    </w:rPr>
  </w:style>
  <w:style w:type="character" w:styleId="WW8Num6z1">
    <w:name w:val="WW8Num6z1"/>
    <w:link w:val="673"/>
    <w:qFormat/>
    <w:rPr>
      <w:rFonts w:ascii="Symbol" w:hAnsi="Symbol" w:cs="Symbol"/>
      <w:b/>
    </w:rPr>
  </w:style>
  <w:style w:type="character"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link w:val="673"/>
    <w:qFormat/>
    <w:rPr/>
  </w:style>
  <w:style w:type="character" w:styleId="31">
    <w:name w:val="Основной шрифт абзаца3"/>
    <w:link w:val="673"/>
    <w:qFormat/>
    <w:rPr/>
  </w:style>
  <w:style w:type="character"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link w:val="673"/>
    <w:qFormat/>
    <w:rPr/>
  </w:style>
  <w:style w:type="character" w:styleId="21">
    <w:name w:val="Основной шрифт абзаца2"/>
    <w:link w:val="673"/>
    <w:qFormat/>
    <w:rPr/>
  </w:style>
  <w:style w:type="character"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link w:val="673"/>
    <w:qFormat/>
    <w:rPr/>
  </w:style>
  <w:style w:type="character" w:styleId="WW8Num5z2">
    <w:name w:val="WW8Num5z2"/>
    <w:link w:val="673"/>
    <w:qFormat/>
    <w:rPr>
      <w:b w:val="false"/>
      <w:sz w:val="22"/>
      <w:szCs w:val="22"/>
    </w:rPr>
  </w:style>
  <w:style w:type="character" w:styleId="WW8Num7z0">
    <w:name w:val="WW8Num7z0"/>
    <w:link w:val="673"/>
    <w:qFormat/>
    <w:rPr>
      <w:rFonts w:ascii="Symbol" w:hAnsi="Symbol" w:cs="Symbol"/>
    </w:rPr>
  </w:style>
  <w:style w:type="character" w:styleId="WW8Num7z1">
    <w:name w:val="WW8Num7z1"/>
    <w:link w:val="673"/>
    <w:qFormat/>
    <w:rPr>
      <w:rFonts w:ascii="Courier New" w:hAnsi="Courier New" w:cs="Courier New"/>
    </w:rPr>
  </w:style>
  <w:style w:type="character" w:styleId="WW8Num7z2">
    <w:name w:val="WW8Num7z2"/>
    <w:link w:val="673"/>
    <w:qFormat/>
    <w:rPr>
      <w:rFonts w:ascii="Wingdings" w:hAnsi="Wingdings" w:cs="Wingdings"/>
    </w:rPr>
  </w:style>
  <w:style w:type="character" w:styleId="WW8Num9z0">
    <w:name w:val="WW8Num9z0"/>
    <w:link w:val="673"/>
    <w:qFormat/>
    <w:rPr>
      <w:b/>
    </w:rPr>
  </w:style>
  <w:style w:type="character" w:styleId="WW8Num9z1">
    <w:name w:val="WW8Num9z1"/>
    <w:link w:val="673"/>
    <w:qFormat/>
    <w:rPr>
      <w:b w:val="false"/>
      <w:sz w:val="22"/>
      <w:szCs w:val="22"/>
    </w:rPr>
  </w:style>
  <w:style w:type="character" w:styleId="WW8Num11z0">
    <w:name w:val="WW8Num11z0"/>
    <w:link w:val="673"/>
    <w:qFormat/>
    <w:rPr>
      <w:rFonts w:ascii="Times New Roman" w:hAnsi="Times New Roman" w:cs="Times New Roman"/>
      <w:b/>
    </w:rPr>
  </w:style>
  <w:style w:type="character" w:styleId="WW8Num11z1">
    <w:name w:val="WW8Num11z1"/>
    <w:link w:val="673"/>
    <w:qFormat/>
    <w:rPr>
      <w:i w:val="false"/>
    </w:rPr>
  </w:style>
  <w:style w:type="character" w:styleId="WW8Num12z0">
    <w:name w:val="WW8Num12z0"/>
    <w:link w:val="673"/>
    <w:qFormat/>
    <w:rPr>
      <w:b/>
    </w:rPr>
  </w:style>
  <w:style w:type="character" w:styleId="WW8Num12z1">
    <w:name w:val="WW8Num12z1"/>
    <w:link w:val="673"/>
    <w:qFormat/>
    <w:rPr>
      <w:b/>
      <w:sz w:val="22"/>
      <w:szCs w:val="22"/>
    </w:rPr>
  </w:style>
  <w:style w:type="character" w:styleId="WW8Num15z0">
    <w:name w:val="WW8Num15z0"/>
    <w:link w:val="673"/>
    <w:qFormat/>
    <w:rPr>
      <w:b/>
    </w:rPr>
  </w:style>
  <w:style w:type="character" w:styleId="WW8Num15z1">
    <w:name w:val="WW8Num15z1"/>
    <w:link w:val="673"/>
    <w:qFormat/>
    <w:rPr>
      <w:rFonts w:ascii="Symbol" w:hAnsi="Symbol" w:cs="Symbol"/>
      <w:b/>
    </w:rPr>
  </w:style>
  <w:style w:type="character" w:styleId="WW8Num18z0">
    <w:name w:val="WW8Num18z0"/>
    <w:link w:val="673"/>
    <w:qFormat/>
    <w:rPr>
      <w:b/>
    </w:rPr>
  </w:style>
  <w:style w:type="character" w:styleId="WW8Num18z1">
    <w:name w:val="WW8Num18z1"/>
    <w:link w:val="673"/>
    <w:qFormat/>
    <w:rPr>
      <w:b/>
      <w:sz w:val="22"/>
      <w:szCs w:val="22"/>
    </w:rPr>
  </w:style>
  <w:style w:type="character" w:styleId="WW8Num19z0">
    <w:name w:val="WW8Num19z0"/>
    <w:link w:val="673"/>
    <w:qFormat/>
    <w:rPr>
      <w:b/>
    </w:rPr>
  </w:style>
  <w:style w:type="character" w:styleId="WW8Num19z2">
    <w:name w:val="WW8Num19z2"/>
    <w:link w:val="673"/>
    <w:qFormat/>
    <w:rPr>
      <w:rFonts w:ascii="Symbol" w:hAnsi="Symbol" w:cs="Symbol"/>
      <w:b/>
    </w:rPr>
  </w:style>
  <w:style w:type="character" w:styleId="WW8Num21z1">
    <w:name w:val="WW8Num21z1"/>
    <w:link w:val="673"/>
    <w:qFormat/>
    <w:rPr>
      <w:rFonts w:ascii="Courier New" w:hAnsi="Courier New" w:cs="Courier New"/>
    </w:rPr>
  </w:style>
  <w:style w:type="character" w:styleId="WW8Num21z2">
    <w:name w:val="WW8Num21z2"/>
    <w:link w:val="673"/>
    <w:qFormat/>
    <w:rPr>
      <w:rFonts w:ascii="Wingdings" w:hAnsi="Wingdings" w:cs="Wingdings"/>
    </w:rPr>
  </w:style>
  <w:style w:type="character" w:styleId="WW8Num21z3">
    <w:name w:val="WW8Num21z3"/>
    <w:link w:val="673"/>
    <w:qFormat/>
    <w:rPr>
      <w:rFonts w:ascii="Symbol" w:hAnsi="Symbol" w:cs="Symbol"/>
    </w:rPr>
  </w:style>
  <w:style w:type="character" w:styleId="WW8Num22z0">
    <w:name w:val="WW8Num22z0"/>
    <w:link w:val="673"/>
    <w:qFormat/>
    <w:rPr>
      <w:b/>
    </w:rPr>
  </w:style>
  <w:style w:type="character" w:styleId="WW8Num22z1">
    <w:name w:val="WW8Num22z1"/>
    <w:link w:val="673"/>
    <w:qFormat/>
    <w:rPr>
      <w:rFonts w:ascii="Symbol" w:hAnsi="Symbol" w:cs="Symbol"/>
      <w:b/>
    </w:rPr>
  </w:style>
  <w:style w:type="character" w:styleId="WW8Num22z2">
    <w:name w:val="WW8Num22z2"/>
    <w:link w:val="673"/>
    <w:qFormat/>
    <w:rPr>
      <w:b w:val="false"/>
      <w:sz w:val="22"/>
      <w:szCs w:val="22"/>
    </w:rPr>
  </w:style>
  <w:style w:type="character" w:styleId="12">
    <w:name w:val="Основной шрифт абзаца1"/>
    <w:link w:val="673"/>
    <w:qFormat/>
    <w:rPr/>
  </w:style>
  <w:style w:type="character" w:styleId="Style9">
    <w:name w:val="Номер страницы"/>
    <w:basedOn w:val="12"/>
    <w:link w:val="673"/>
    <w:rPr/>
  </w:style>
  <w:style w:type="character" w:styleId="13">
    <w:name w:val="Знак примечания1"/>
    <w:link w:val="673"/>
    <w:qFormat/>
    <w:rPr>
      <w:sz w:val="16"/>
      <w:szCs w:val="16"/>
    </w:rPr>
  </w:style>
  <w:style w:type="character" w:styleId="Style10">
    <w:name w:val="Основной текст Знак"/>
    <w:link w:val="673"/>
    <w:qFormat/>
    <w:rPr>
      <w:sz w:val="24"/>
      <w:szCs w:val="24"/>
    </w:rPr>
  </w:style>
  <w:style w:type="character" w:styleId="Style11">
    <w:name w:val="Маркеры списка"/>
    <w:link w:val="673"/>
    <w:qFormat/>
    <w:rPr>
      <w:rFonts w:ascii="OpenSymbol" w:hAnsi="OpenSymbol" w:eastAsia="OpenSymbol" w:cs="OpenSymbol"/>
    </w:rPr>
  </w:style>
  <w:style w:type="character" w:styleId="Style12">
    <w:name w:val="Символ нумерации"/>
    <w:link w:val="673"/>
    <w:qFormat/>
    <w:rPr/>
  </w:style>
  <w:style w:type="character" w:styleId="10">
    <w:name w:val="Основной шрифт абзаца10"/>
    <w:link w:val="673"/>
    <w:qFormat/>
    <w:rPr/>
  </w:style>
  <w:style w:type="character" w:styleId="Style13">
    <w:name w:val="Символ сноски"/>
    <w:link w:val="673"/>
    <w:qFormat/>
    <w:rPr>
      <w:vertAlign w:val="superscript"/>
    </w:rPr>
  </w:style>
  <w:style w:type="character" w:styleId="WW8Num1z1">
    <w:name w:val="WW8Num1z1"/>
    <w:link w:val="673"/>
    <w:qFormat/>
    <w:rPr>
      <w:rFonts w:ascii="Symbol" w:hAnsi="Symbol" w:cs="Symbol"/>
      <w:b/>
    </w:rPr>
  </w:style>
  <w:style w:type="character" w:styleId="WW8Num1z3">
    <w:name w:val="WW8Num1z3"/>
    <w:link w:val="673"/>
    <w:qFormat/>
    <w:rPr/>
  </w:style>
  <w:style w:type="character" w:styleId="WW8Num1z4">
    <w:name w:val="WW8Num1z4"/>
    <w:link w:val="673"/>
    <w:qFormat/>
    <w:rPr/>
  </w:style>
  <w:style w:type="character" w:styleId="WW8Num1z5">
    <w:name w:val="WW8Num1z5"/>
    <w:link w:val="673"/>
    <w:qFormat/>
    <w:rPr/>
  </w:style>
  <w:style w:type="character" w:styleId="WW8Num1z6">
    <w:name w:val="WW8Num1z6"/>
    <w:link w:val="673"/>
    <w:qFormat/>
    <w:rPr/>
  </w:style>
  <w:style w:type="character" w:styleId="WW8Num1z7">
    <w:name w:val="WW8Num1z7"/>
    <w:link w:val="673"/>
    <w:qFormat/>
    <w:rPr/>
  </w:style>
  <w:style w:type="character" w:styleId="WW8Num1z8">
    <w:name w:val="WW8Num1z8"/>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link w:val="673"/>
    <w:qFormat/>
    <w:rPr/>
  </w:style>
  <w:style w:type="character" w:styleId="ListLabel1">
    <w:name w:val="ListLabel 1"/>
    <w:link w:val="673"/>
    <w:qFormat/>
    <w:rPr>
      <w:b/>
    </w:rPr>
  </w:style>
  <w:style w:type="character" w:styleId="WW">
    <w:name w:val="WW-Символ сноски"/>
    <w:link w:val="673"/>
    <w:qFormat/>
    <w:rPr/>
  </w:style>
  <w:style w:type="character" w:styleId="Style14">
    <w:name w:val="Знак сноски"/>
    <w:link w:val="673"/>
    <w:qFormat/>
    <w:rPr>
      <w:vertAlign w:val="superscript"/>
    </w:rPr>
  </w:style>
  <w:style w:type="character" w:styleId="Style15">
    <w:name w:val="Знак примечания"/>
    <w:link w:val="673"/>
    <w:qFormat/>
    <w:rPr>
      <w:sz w:val="16"/>
      <w:szCs w:val="16"/>
    </w:rPr>
  </w:style>
  <w:style w:type="character" w:styleId="Style16">
    <w:name w:val="Текст примечания Знак"/>
    <w:link w:val="673"/>
    <w:qFormat/>
    <w:rPr>
      <w:lang w:eastAsia="zh-CN"/>
    </w:rPr>
  </w:style>
  <w:style w:type="character"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link w:val="673"/>
    <w:qFormat/>
    <w:rPr/>
  </w:style>
  <w:style w:type="character"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link w:val="673"/>
    <w:qFormat/>
    <w:rPr/>
  </w:style>
  <w:style w:type="character" w:styleId="DefaultParagraphFont" w:default="1">
    <w:name w:val="Default Paragraph Font"/>
    <w:uiPriority w:val="1"/>
    <w:semiHidden/>
    <w:unhideWhenUsed/>
    <w:qFormat/>
    <w:rPr/>
  </w:style>
  <w:style w:type="character" w:styleId="ListLabel2">
    <w:name w:val="ListLabel 2"/>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3">
    <w:name w:val="ListLabel 3"/>
    <w:qFormat/>
    <w:rPr>
      <w:rFonts w:eastAsia="Courier New" w:cs="Courier New"/>
    </w:rPr>
  </w:style>
  <w:style w:type="character" w:styleId="ListLabel4">
    <w:name w:val="ListLabel 4"/>
    <w:qFormat/>
    <w:rPr>
      <w:rFonts w:eastAsia="Wingdings" w:cs="Wingdings"/>
    </w:rPr>
  </w:style>
  <w:style w:type="character" w:styleId="ListLabel5">
    <w:name w:val="ListLabel 5"/>
    <w:qFormat/>
    <w:rPr>
      <w:rFonts w:eastAsia="Symbol" w:cs="Symbol"/>
    </w:rPr>
  </w:style>
  <w:style w:type="character" w:styleId="ListLabel6">
    <w:name w:val="ListLabel 6"/>
    <w:qFormat/>
    <w:rPr>
      <w:rFonts w:eastAsia="Courier New" w:cs="Courier New"/>
    </w:rPr>
  </w:style>
  <w:style w:type="character" w:styleId="ListLabel7">
    <w:name w:val="ListLabel 7"/>
    <w:qFormat/>
    <w:rPr>
      <w:rFonts w:eastAsia="Wingdings" w:cs="Wingdings"/>
    </w:rPr>
  </w:style>
  <w:style w:type="character" w:styleId="ListLabel8">
    <w:name w:val="ListLabel 8"/>
    <w:qFormat/>
    <w:rPr>
      <w:rFonts w:eastAsia="Symbol" w:cs="Symbol"/>
    </w:rPr>
  </w:style>
  <w:style w:type="character" w:styleId="ListLabel9">
    <w:name w:val="ListLabel 9"/>
    <w:qFormat/>
    <w:rPr>
      <w:rFonts w:eastAsia="Courier New" w:cs="Courier New"/>
    </w:rPr>
  </w:style>
  <w:style w:type="character" w:styleId="ListLabel10">
    <w:name w:val="ListLabel 10"/>
    <w:qFormat/>
    <w:rPr>
      <w:rFonts w:eastAsia="Wingdings" w:cs="Wingdings"/>
    </w:rPr>
  </w:style>
  <w:style w:type="character" w:styleId="ListLabel11">
    <w:name w:val="ListLabel 11"/>
    <w:qFormat/>
    <w:rPr>
      <w:b/>
      <w:sz w:val="20"/>
    </w:rPr>
  </w:style>
  <w:style w:type="character" w:styleId="ListLabel12">
    <w:name w:val="ListLabel 12"/>
    <w:qFormat/>
    <w:rPr>
      <w:rFonts w:cs="Symbol"/>
      <w:b/>
    </w:rPr>
  </w:style>
  <w:style w:type="character" w:styleId="ListLabel13">
    <w:name w:val="ListLabel 13"/>
    <w:qFormat/>
    <w:rPr>
      <w:rFonts w:cs="Symbol"/>
      <w:b/>
    </w:rPr>
  </w:style>
  <w:style w:type="character" w:styleId="ListLabel14">
    <w:name w:val="ListLabel 14"/>
    <w:qFormat/>
    <w:rPr>
      <w:sz w:val="20"/>
      <w:szCs w:val="20"/>
      <w:lang w:val="en-US"/>
    </w:rPr>
  </w:style>
  <w:style w:type="character" w:styleId="ListLabel24">
    <w:name w:val="ListLabel 24"/>
    <w:qFormat/>
    <w:rPr>
      <w:sz w:val="20"/>
      <w:szCs w:val="20"/>
      <w:lang w:val="en-US"/>
    </w:rPr>
  </w:style>
  <w:style w:type="character" w:styleId="ListLabel23">
    <w:name w:val="ListLabel 23"/>
    <w:qFormat/>
    <w:rPr>
      <w:rFonts w:cs="Wingdings"/>
    </w:rPr>
  </w:style>
  <w:style w:type="character" w:styleId="ListLabel22">
    <w:name w:val="ListLabel 22"/>
    <w:qFormat/>
    <w:rPr>
      <w:rFonts w:cs="Courier New"/>
    </w:rPr>
  </w:style>
  <w:style w:type="character" w:styleId="ListLabel21">
    <w:name w:val="ListLabel 21"/>
    <w:qFormat/>
    <w:rPr>
      <w:rFonts w:cs="Symbol"/>
    </w:rPr>
  </w:style>
  <w:style w:type="character" w:styleId="ListLabel20">
    <w:name w:val="ListLabel 20"/>
    <w:qFormat/>
    <w:rPr>
      <w:rFonts w:cs="Wingdings"/>
    </w:rPr>
  </w:style>
  <w:style w:type="character" w:styleId="ListLabel19">
    <w:name w:val="ListLabel 19"/>
    <w:qFormat/>
    <w:rPr>
      <w:rFonts w:cs="Courier New"/>
    </w:rPr>
  </w:style>
  <w:style w:type="character" w:styleId="ListLabel18">
    <w:name w:val="ListLabel 18"/>
    <w:qFormat/>
    <w:rPr>
      <w:rFonts w:cs="Symbol"/>
    </w:rPr>
  </w:style>
  <w:style w:type="character" w:styleId="ListLabel17">
    <w:name w:val="ListLabel 17"/>
    <w:qFormat/>
    <w:rPr>
      <w:rFonts w:cs="Wingdings"/>
    </w:rPr>
  </w:style>
  <w:style w:type="character" w:styleId="ListLabel16">
    <w:name w:val="ListLabel 16"/>
    <w:qFormat/>
    <w:rPr>
      <w:rFonts w:cs="Courier New"/>
    </w:rPr>
  </w:style>
  <w:style w:type="character" w:styleId="ListLabel15">
    <w:name w:val="ListLabel 1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25">
    <w:name w:val="ListLabel 2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sz w:val="20"/>
      <w:szCs w:val="20"/>
      <w:lang w:val="en-US"/>
    </w:rPr>
  </w:style>
  <w:style w:type="character" w:styleId="ListLabel35">
    <w:name w:val="ListLabel 3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sz w:val="20"/>
      <w:szCs w:val="20"/>
      <w:lang w:val="en-US"/>
    </w:rPr>
  </w:style>
  <w:style w:type="character" w:styleId="ListLabel45">
    <w:name w:val="ListLabel 4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sz w:val="20"/>
      <w:szCs w:val="20"/>
      <w:lang w:val="en-US"/>
    </w:rPr>
  </w:style>
  <w:style w:type="character" w:styleId="Style17">
    <w:name w:val="Выделение жирным"/>
    <w:qFormat/>
    <w:rPr>
      <w:b/>
      <w:bCs/>
    </w:rPr>
  </w:style>
  <w:style w:type="character" w:styleId="ListLabel55">
    <w:name w:val="ListLabel 5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sz w:val="20"/>
      <w:szCs w:val="20"/>
      <w:lang w:val="en-US"/>
    </w:rPr>
  </w:style>
  <w:style w:type="character" w:styleId="ListLabel65">
    <w:name w:val="ListLabel 6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sz w:val="20"/>
      <w:szCs w:val="20"/>
      <w:lang w:val="en-US"/>
    </w:rPr>
  </w:style>
  <w:style w:type="character" w:styleId="ListLabel75">
    <w:name w:val="ListLabel 7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cs="Symbol"/>
    </w:rPr>
  </w:style>
  <w:style w:type="character" w:styleId="ListLabel82">
    <w:name w:val="ListLabel 82"/>
    <w:qFormat/>
    <w:rPr>
      <w:rFonts w:cs="Courier New"/>
    </w:rPr>
  </w:style>
  <w:style w:type="character" w:styleId="ListLabel83">
    <w:name w:val="ListLabel 83"/>
    <w:qFormat/>
    <w:rPr>
      <w:rFonts w:cs="Wingdings"/>
    </w:rPr>
  </w:style>
  <w:style w:type="character" w:styleId="ListLabel84">
    <w:name w:val="ListLabel 84"/>
    <w:qFormat/>
    <w:rPr>
      <w:sz w:val="20"/>
      <w:szCs w:val="20"/>
      <w:lang w:val="en-US"/>
    </w:rPr>
  </w:style>
  <w:style w:type="character" w:styleId="ListLabel85">
    <w:name w:val="ListLabel 8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sz w:val="20"/>
      <w:szCs w:val="20"/>
      <w:lang w:val="en-US"/>
    </w:rPr>
  </w:style>
  <w:style w:type="character" w:styleId="ListLabel95">
    <w:name w:val="ListLabel 95"/>
    <w:qFormat/>
    <w:rPr>
      <w:rFonts w:eastAsia="Arial" w:cs="Times New Roman"/>
      <w:b w:val="false"/>
      <w:bCs/>
      <w:i w:val="false"/>
      <w:iCs w:val="false"/>
      <w:strike w:val="false"/>
      <w:dstrike w:val="false"/>
      <w:color w:val="000000"/>
      <w:position w:val="0"/>
      <w:sz w:val="20"/>
      <w:sz w:val="20"/>
      <w:szCs w:val="20"/>
      <w:vertAlign w:val="baseline"/>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sz w:val="20"/>
      <w:szCs w:val="20"/>
      <w:lang w:val="en-US"/>
    </w:rPr>
  </w:style>
  <w:style w:type="character" w:styleId="ListLabel105">
    <w:name w:val="ListLabel 105"/>
    <w:qFormat/>
    <w:rPr>
      <w:rFonts w:eastAsia="Arial" w:cs="Times New Roman"/>
      <w:b/>
      <w:bCs/>
      <w:i w:val="false"/>
      <w:iCs w:val="false"/>
      <w:strike w:val="false"/>
      <w:dstrike w:val="false"/>
      <w:color w:val="000000"/>
      <w:position w:val="0"/>
      <w:sz w:val="20"/>
      <w:sz w:val="20"/>
      <w:szCs w:val="20"/>
      <w:vertAlign w:val="baseline"/>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cs="Symbol"/>
    </w:rPr>
  </w:style>
  <w:style w:type="character" w:styleId="ListLabel112">
    <w:name w:val="ListLabel 112"/>
    <w:qFormat/>
    <w:rPr>
      <w:rFonts w:cs="Courier New"/>
    </w:rPr>
  </w:style>
  <w:style w:type="character" w:styleId="ListLabel113">
    <w:name w:val="ListLabel 113"/>
    <w:qFormat/>
    <w:rPr>
      <w:rFonts w:cs="Wingdings"/>
    </w:rPr>
  </w:style>
  <w:style w:type="character" w:styleId="ListLabel114">
    <w:name w:val="ListLabel 114"/>
    <w:qFormat/>
    <w:rPr>
      <w:sz w:val="20"/>
      <w:szCs w:val="20"/>
      <w:lang w:val="en-US"/>
    </w:rPr>
  </w:style>
  <w:style w:type="character" w:styleId="ListLabel115">
    <w:name w:val="ListLabel 11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ascii="Times New Roman" w:hAnsi="Times New Roman"/>
      <w:sz w:val="20"/>
      <w:szCs w:val="20"/>
      <w:lang w:val="en-US"/>
    </w:rPr>
  </w:style>
  <w:style w:type="character" w:styleId="ListLabel125">
    <w:name w:val="ListLabel 12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cs="Symbol"/>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sz w:val="20"/>
      <w:szCs w:val="20"/>
      <w:lang w:val="en-US"/>
    </w:rPr>
  </w:style>
  <w:style w:type="character" w:styleId="ListLabel135">
    <w:name w:val="ListLabel 13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cs="Symbol"/>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cs="Symbol"/>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sz w:val="20"/>
      <w:szCs w:val="20"/>
      <w:lang w:val="en-US"/>
    </w:rPr>
  </w:style>
  <w:style w:type="character" w:styleId="ListLabel145">
    <w:name w:val="ListLabel 14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sz w:val="20"/>
      <w:szCs w:val="20"/>
      <w:lang w:val="en-US"/>
    </w:rPr>
  </w:style>
  <w:style w:type="character" w:styleId="ListLabel155">
    <w:name w:val="ListLabel 15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cs="Symbol"/>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sz w:val="20"/>
      <w:szCs w:val="20"/>
      <w:lang w:val="en-US"/>
    </w:rPr>
  </w:style>
  <w:style w:type="character" w:styleId="ListLabel165">
    <w:name w:val="ListLabel 16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66">
    <w:name w:val="ListLabel 166"/>
    <w:qFormat/>
    <w:rPr>
      <w:rFonts w:cs="Courier New"/>
    </w:rPr>
  </w:style>
  <w:style w:type="character" w:styleId="ListLabel167">
    <w:name w:val="ListLabel 167"/>
    <w:qFormat/>
    <w:rPr>
      <w:rFonts w:cs="Wingdings"/>
    </w:rPr>
  </w:style>
  <w:style w:type="character" w:styleId="ListLabel168">
    <w:name w:val="ListLabel 168"/>
    <w:qFormat/>
    <w:rPr>
      <w:rFonts w:cs="Symbol"/>
    </w:rPr>
  </w:style>
  <w:style w:type="character" w:styleId="ListLabel169">
    <w:name w:val="ListLabel 169"/>
    <w:qFormat/>
    <w:rPr>
      <w:rFonts w:cs="Courier New"/>
    </w:rPr>
  </w:style>
  <w:style w:type="character" w:styleId="ListLabel170">
    <w:name w:val="ListLabel 170"/>
    <w:qFormat/>
    <w:rPr>
      <w:rFonts w:cs="Wingdings"/>
    </w:rPr>
  </w:style>
  <w:style w:type="character" w:styleId="ListLabel171">
    <w:name w:val="ListLabel 171"/>
    <w:qFormat/>
    <w:rPr>
      <w:rFonts w:cs="Symbol"/>
    </w:rPr>
  </w:style>
  <w:style w:type="character" w:styleId="ListLabel172">
    <w:name w:val="ListLabel 172"/>
    <w:qFormat/>
    <w:rPr>
      <w:rFonts w:cs="Courier New"/>
    </w:rPr>
  </w:style>
  <w:style w:type="character" w:styleId="ListLabel173">
    <w:name w:val="ListLabel 173"/>
    <w:qFormat/>
    <w:rPr>
      <w:rFonts w:cs="Wingdings"/>
    </w:rPr>
  </w:style>
  <w:style w:type="character" w:styleId="ListLabel174">
    <w:name w:val="ListLabel 174"/>
    <w:qFormat/>
    <w:rPr>
      <w:sz w:val="20"/>
      <w:szCs w:val="20"/>
      <w:lang w:val="en-US"/>
    </w:rPr>
  </w:style>
  <w:style w:type="character" w:styleId="ListLabel175">
    <w:name w:val="ListLabel 17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76">
    <w:name w:val="ListLabel 176"/>
    <w:qFormat/>
    <w:rPr>
      <w:rFonts w:cs="Courier New"/>
    </w:rPr>
  </w:style>
  <w:style w:type="character" w:styleId="ListLabel177">
    <w:name w:val="ListLabel 177"/>
    <w:qFormat/>
    <w:rPr>
      <w:rFonts w:cs="Wingdings"/>
    </w:rPr>
  </w:style>
  <w:style w:type="character" w:styleId="ListLabel178">
    <w:name w:val="ListLabel 178"/>
    <w:qFormat/>
    <w:rPr>
      <w:rFonts w:cs="Symbol"/>
    </w:rPr>
  </w:style>
  <w:style w:type="character" w:styleId="ListLabel179">
    <w:name w:val="ListLabel 179"/>
    <w:qFormat/>
    <w:rPr>
      <w:rFonts w:cs="Courier New"/>
    </w:rPr>
  </w:style>
  <w:style w:type="character" w:styleId="ListLabel180">
    <w:name w:val="ListLabel 180"/>
    <w:qFormat/>
    <w:rPr>
      <w:rFonts w:cs="Wingdings"/>
    </w:rPr>
  </w:style>
  <w:style w:type="character" w:styleId="ListLabel181">
    <w:name w:val="ListLabel 181"/>
    <w:qFormat/>
    <w:rPr>
      <w:rFonts w:cs="Symbol"/>
    </w:rPr>
  </w:style>
  <w:style w:type="character" w:styleId="ListLabel182">
    <w:name w:val="ListLabel 182"/>
    <w:qFormat/>
    <w:rPr>
      <w:rFonts w:cs="Courier New"/>
    </w:rPr>
  </w:style>
  <w:style w:type="character" w:styleId="ListLabel183">
    <w:name w:val="ListLabel 183"/>
    <w:qFormat/>
    <w:rPr>
      <w:rFonts w:cs="Wingdings"/>
    </w:rPr>
  </w:style>
  <w:style w:type="character" w:styleId="ListLabel184">
    <w:name w:val="ListLabel 184"/>
    <w:qFormat/>
    <w:rPr>
      <w:sz w:val="20"/>
      <w:szCs w:val="20"/>
      <w:lang w:val="en-US"/>
    </w:rPr>
  </w:style>
  <w:style w:type="character" w:styleId="ListLabel185">
    <w:name w:val="ListLabel 18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sz w:val="20"/>
      <w:szCs w:val="20"/>
      <w:lang w:val="en-US"/>
    </w:rPr>
  </w:style>
  <w:style w:type="character" w:styleId="ListLabel195">
    <w:name w:val="ListLabel 19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196">
    <w:name w:val="ListLabel 196"/>
    <w:qFormat/>
    <w:rPr>
      <w:rFonts w:cs="Courier New"/>
    </w:rPr>
  </w:style>
  <w:style w:type="character" w:styleId="ListLabel197">
    <w:name w:val="ListLabel 197"/>
    <w:qFormat/>
    <w:rPr>
      <w:rFonts w:cs="Wingdings"/>
    </w:rPr>
  </w:style>
  <w:style w:type="character" w:styleId="ListLabel198">
    <w:name w:val="ListLabel 198"/>
    <w:qFormat/>
    <w:rPr>
      <w:rFonts w:cs="Symbol"/>
    </w:rPr>
  </w:style>
  <w:style w:type="character" w:styleId="ListLabel199">
    <w:name w:val="ListLabel 199"/>
    <w:qFormat/>
    <w:rPr>
      <w:rFonts w:cs="Courier New"/>
    </w:rPr>
  </w:style>
  <w:style w:type="character" w:styleId="ListLabel200">
    <w:name w:val="ListLabel 200"/>
    <w:qFormat/>
    <w:rPr>
      <w:rFonts w:cs="Wingdings"/>
    </w:rPr>
  </w:style>
  <w:style w:type="character" w:styleId="ListLabel201">
    <w:name w:val="ListLabel 201"/>
    <w:qFormat/>
    <w:rPr>
      <w:rFonts w:cs="Symbol"/>
    </w:rPr>
  </w:style>
  <w:style w:type="character" w:styleId="ListLabel202">
    <w:name w:val="ListLabel 202"/>
    <w:qFormat/>
    <w:rPr>
      <w:rFonts w:cs="Courier New"/>
    </w:rPr>
  </w:style>
  <w:style w:type="character" w:styleId="ListLabel203">
    <w:name w:val="ListLabel 203"/>
    <w:qFormat/>
    <w:rPr>
      <w:rFonts w:cs="Wingdings"/>
    </w:rPr>
  </w:style>
  <w:style w:type="character" w:styleId="ListLabel204">
    <w:name w:val="ListLabel 204"/>
    <w:qFormat/>
    <w:rPr>
      <w:sz w:val="20"/>
      <w:szCs w:val="20"/>
      <w:lang w:val="en-US"/>
    </w:rPr>
  </w:style>
  <w:style w:type="character" w:styleId="ListLabel205">
    <w:name w:val="ListLabel 20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06">
    <w:name w:val="ListLabel 206"/>
    <w:qFormat/>
    <w:rPr>
      <w:rFonts w:cs="Courier New"/>
    </w:rPr>
  </w:style>
  <w:style w:type="character" w:styleId="ListLabel207">
    <w:name w:val="ListLabel 207"/>
    <w:qFormat/>
    <w:rPr>
      <w:rFonts w:cs="Wingdings"/>
    </w:rPr>
  </w:style>
  <w:style w:type="character" w:styleId="ListLabel208">
    <w:name w:val="ListLabel 208"/>
    <w:qFormat/>
    <w:rPr>
      <w:rFonts w:cs="Symbol"/>
    </w:rPr>
  </w:style>
  <w:style w:type="character" w:styleId="ListLabel209">
    <w:name w:val="ListLabel 209"/>
    <w:qFormat/>
    <w:rPr>
      <w:rFonts w:cs="Courier New"/>
    </w:rPr>
  </w:style>
  <w:style w:type="character" w:styleId="ListLabel210">
    <w:name w:val="ListLabel 210"/>
    <w:qFormat/>
    <w:rPr>
      <w:rFonts w:cs="Wingdings"/>
    </w:rPr>
  </w:style>
  <w:style w:type="character" w:styleId="ListLabel211">
    <w:name w:val="ListLabel 211"/>
    <w:qFormat/>
    <w:rPr>
      <w:rFonts w:cs="Symbol"/>
    </w:rPr>
  </w:style>
  <w:style w:type="character" w:styleId="ListLabel212">
    <w:name w:val="ListLabel 212"/>
    <w:qFormat/>
    <w:rPr>
      <w:rFonts w:cs="Courier New"/>
    </w:rPr>
  </w:style>
  <w:style w:type="character" w:styleId="ListLabel213">
    <w:name w:val="ListLabel 213"/>
    <w:qFormat/>
    <w:rPr>
      <w:rFonts w:cs="Wingdings"/>
    </w:rPr>
  </w:style>
  <w:style w:type="character" w:styleId="ListLabel214">
    <w:name w:val="ListLabel 214"/>
    <w:qFormat/>
    <w:rPr>
      <w:sz w:val="20"/>
      <w:szCs w:val="20"/>
      <w:lang w:val="en-US"/>
    </w:rPr>
  </w:style>
  <w:style w:type="character" w:styleId="ListLabel215">
    <w:name w:val="ListLabel 21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16">
    <w:name w:val="ListLabel 216"/>
    <w:qFormat/>
    <w:rPr>
      <w:rFonts w:cs="Courier New"/>
    </w:rPr>
  </w:style>
  <w:style w:type="character" w:styleId="ListLabel217">
    <w:name w:val="ListLabel 217"/>
    <w:qFormat/>
    <w:rPr>
      <w:rFonts w:cs="Wingdings"/>
    </w:rPr>
  </w:style>
  <w:style w:type="character" w:styleId="ListLabel218">
    <w:name w:val="ListLabel 218"/>
    <w:qFormat/>
    <w:rPr>
      <w:rFonts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cs="Symbol"/>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sz w:val="20"/>
      <w:szCs w:val="20"/>
      <w:lang w:val="en-US"/>
    </w:rPr>
  </w:style>
  <w:style w:type="character" w:styleId="ListLabel225">
    <w:name w:val="ListLabel 22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26">
    <w:name w:val="ListLabel 226"/>
    <w:qFormat/>
    <w:rPr>
      <w:rFonts w:cs="Courier New"/>
    </w:rPr>
  </w:style>
  <w:style w:type="character" w:styleId="ListLabel227">
    <w:name w:val="ListLabel 227"/>
    <w:qFormat/>
    <w:rPr>
      <w:rFonts w:cs="Wingdings"/>
    </w:rPr>
  </w:style>
  <w:style w:type="character" w:styleId="ListLabel228">
    <w:name w:val="ListLabel 228"/>
    <w:qFormat/>
    <w:rPr>
      <w:rFonts w:cs="Symbol"/>
    </w:rPr>
  </w:style>
  <w:style w:type="character" w:styleId="ListLabel229">
    <w:name w:val="ListLabel 229"/>
    <w:qFormat/>
    <w:rPr>
      <w:rFonts w:cs="Courier New"/>
    </w:rPr>
  </w:style>
  <w:style w:type="character" w:styleId="ListLabel230">
    <w:name w:val="ListLabel 230"/>
    <w:qFormat/>
    <w:rPr>
      <w:rFonts w:cs="Wingdings"/>
    </w:rPr>
  </w:style>
  <w:style w:type="character" w:styleId="ListLabel231">
    <w:name w:val="ListLabel 231"/>
    <w:qFormat/>
    <w:rPr>
      <w:rFonts w:cs="Symbol"/>
    </w:rPr>
  </w:style>
  <w:style w:type="character" w:styleId="ListLabel232">
    <w:name w:val="ListLabel 232"/>
    <w:qFormat/>
    <w:rPr>
      <w:rFonts w:cs="Courier New"/>
    </w:rPr>
  </w:style>
  <w:style w:type="character" w:styleId="ListLabel233">
    <w:name w:val="ListLabel 233"/>
    <w:qFormat/>
    <w:rPr>
      <w:rFonts w:cs="Wingdings"/>
    </w:rPr>
  </w:style>
  <w:style w:type="character" w:styleId="ListLabel234">
    <w:name w:val="ListLabel 234"/>
    <w:qFormat/>
    <w:rPr>
      <w:sz w:val="20"/>
      <w:szCs w:val="20"/>
      <w:lang w:val="en-US"/>
    </w:rPr>
  </w:style>
  <w:style w:type="character" w:styleId="ListLabel235">
    <w:name w:val="ListLabel 23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36">
    <w:name w:val="ListLabel 236"/>
    <w:qFormat/>
    <w:rPr>
      <w:rFonts w:cs="Courier New"/>
    </w:rPr>
  </w:style>
  <w:style w:type="character" w:styleId="ListLabel237">
    <w:name w:val="ListLabel 237"/>
    <w:qFormat/>
    <w:rPr>
      <w:rFonts w:cs="Wingdings"/>
    </w:rPr>
  </w:style>
  <w:style w:type="character" w:styleId="ListLabel238">
    <w:name w:val="ListLabel 238"/>
    <w:qFormat/>
    <w:rPr>
      <w:rFonts w:cs="Symbol"/>
    </w:rPr>
  </w:style>
  <w:style w:type="character" w:styleId="ListLabel239">
    <w:name w:val="ListLabel 239"/>
    <w:qFormat/>
    <w:rPr>
      <w:rFonts w:cs="Courier New"/>
    </w:rPr>
  </w:style>
  <w:style w:type="character" w:styleId="ListLabel240">
    <w:name w:val="ListLabel 240"/>
    <w:qFormat/>
    <w:rPr>
      <w:rFonts w:cs="Wingdings"/>
    </w:rPr>
  </w:style>
  <w:style w:type="character" w:styleId="ListLabel241">
    <w:name w:val="ListLabel 241"/>
    <w:qFormat/>
    <w:rPr>
      <w:rFonts w:cs="Symbol"/>
    </w:rPr>
  </w:style>
  <w:style w:type="character" w:styleId="ListLabel242">
    <w:name w:val="ListLabel 242"/>
    <w:qFormat/>
    <w:rPr>
      <w:rFonts w:cs="Courier New"/>
    </w:rPr>
  </w:style>
  <w:style w:type="character" w:styleId="ListLabel243">
    <w:name w:val="ListLabel 243"/>
    <w:qFormat/>
    <w:rPr>
      <w:rFonts w:cs="Wingdings"/>
    </w:rPr>
  </w:style>
  <w:style w:type="character" w:styleId="ListLabel244">
    <w:name w:val="ListLabel 244"/>
    <w:qFormat/>
    <w:rPr>
      <w:sz w:val="20"/>
      <w:szCs w:val="20"/>
      <w:lang w:val="en-US"/>
    </w:rPr>
  </w:style>
  <w:style w:type="character" w:styleId="ListLabel245">
    <w:name w:val="ListLabel 24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46">
    <w:name w:val="ListLabel 246"/>
    <w:qFormat/>
    <w:rPr>
      <w:rFonts w:cs="Courier New"/>
    </w:rPr>
  </w:style>
  <w:style w:type="character" w:styleId="ListLabel247">
    <w:name w:val="ListLabel 247"/>
    <w:qFormat/>
    <w:rPr>
      <w:rFonts w:cs="Wingdings"/>
    </w:rPr>
  </w:style>
  <w:style w:type="character" w:styleId="ListLabel248">
    <w:name w:val="ListLabel 248"/>
    <w:qFormat/>
    <w:rPr>
      <w:rFonts w:cs="Symbol"/>
    </w:rPr>
  </w:style>
  <w:style w:type="character" w:styleId="ListLabel249">
    <w:name w:val="ListLabel 249"/>
    <w:qFormat/>
    <w:rPr>
      <w:rFonts w:cs="Courier New"/>
    </w:rPr>
  </w:style>
  <w:style w:type="character" w:styleId="ListLabel250">
    <w:name w:val="ListLabel 250"/>
    <w:qFormat/>
    <w:rPr>
      <w:rFonts w:cs="Wingdings"/>
    </w:rPr>
  </w:style>
  <w:style w:type="character" w:styleId="ListLabel251">
    <w:name w:val="ListLabel 251"/>
    <w:qFormat/>
    <w:rPr>
      <w:rFonts w:cs="Symbol"/>
    </w:rPr>
  </w:style>
  <w:style w:type="character" w:styleId="ListLabel252">
    <w:name w:val="ListLabel 252"/>
    <w:qFormat/>
    <w:rPr>
      <w:rFonts w:cs="Courier New"/>
    </w:rPr>
  </w:style>
  <w:style w:type="character" w:styleId="ListLabel253">
    <w:name w:val="ListLabel 253"/>
    <w:qFormat/>
    <w:rPr>
      <w:rFonts w:cs="Wingdings"/>
    </w:rPr>
  </w:style>
  <w:style w:type="character" w:styleId="ListLabel254">
    <w:name w:val="ListLabel 254"/>
    <w:qFormat/>
    <w:rPr>
      <w:sz w:val="20"/>
      <w:szCs w:val="20"/>
      <w:lang w:val="en-US"/>
    </w:rPr>
  </w:style>
  <w:style w:type="character" w:styleId="ListLabel255">
    <w:name w:val="ListLabel 25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56">
    <w:name w:val="ListLabel 256"/>
    <w:qFormat/>
    <w:rPr>
      <w:rFonts w:cs="Courier New"/>
    </w:rPr>
  </w:style>
  <w:style w:type="character" w:styleId="ListLabel257">
    <w:name w:val="ListLabel 257"/>
    <w:qFormat/>
    <w:rPr>
      <w:rFonts w:cs="Wingdings"/>
    </w:rPr>
  </w:style>
  <w:style w:type="character" w:styleId="ListLabel258">
    <w:name w:val="ListLabel 258"/>
    <w:qFormat/>
    <w:rPr>
      <w:rFonts w:cs="Symbol"/>
    </w:rPr>
  </w:style>
  <w:style w:type="character" w:styleId="ListLabel259">
    <w:name w:val="ListLabel 259"/>
    <w:qFormat/>
    <w:rPr>
      <w:rFonts w:cs="Courier New"/>
    </w:rPr>
  </w:style>
  <w:style w:type="character" w:styleId="ListLabel260">
    <w:name w:val="ListLabel 260"/>
    <w:qFormat/>
    <w:rPr>
      <w:rFonts w:cs="Wingdings"/>
    </w:rPr>
  </w:style>
  <w:style w:type="character" w:styleId="ListLabel261">
    <w:name w:val="ListLabel 261"/>
    <w:qFormat/>
    <w:rPr>
      <w:rFonts w:cs="Symbol"/>
    </w:rPr>
  </w:style>
  <w:style w:type="character" w:styleId="ListLabel262">
    <w:name w:val="ListLabel 262"/>
    <w:qFormat/>
    <w:rPr>
      <w:rFonts w:cs="Courier New"/>
    </w:rPr>
  </w:style>
  <w:style w:type="character" w:styleId="ListLabel263">
    <w:name w:val="ListLabel 263"/>
    <w:qFormat/>
    <w:rPr>
      <w:rFonts w:cs="Wingdings"/>
    </w:rPr>
  </w:style>
  <w:style w:type="character" w:styleId="ListLabel264">
    <w:name w:val="ListLabel 264"/>
    <w:qFormat/>
    <w:rPr>
      <w:sz w:val="20"/>
      <w:szCs w:val="20"/>
      <w:lang w:val="en-US"/>
    </w:rPr>
  </w:style>
  <w:style w:type="character" w:styleId="ListLabel265">
    <w:name w:val="ListLabel 26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66">
    <w:name w:val="ListLabel 266"/>
    <w:qFormat/>
    <w:rPr>
      <w:rFonts w:cs="Courier New"/>
    </w:rPr>
  </w:style>
  <w:style w:type="character" w:styleId="ListLabel267">
    <w:name w:val="ListLabel 267"/>
    <w:qFormat/>
    <w:rPr>
      <w:rFonts w:cs="Wingdings"/>
    </w:rPr>
  </w:style>
  <w:style w:type="character" w:styleId="ListLabel268">
    <w:name w:val="ListLabel 268"/>
    <w:qFormat/>
    <w:rPr>
      <w:rFonts w:cs="Symbol"/>
    </w:rPr>
  </w:style>
  <w:style w:type="character" w:styleId="ListLabel269">
    <w:name w:val="ListLabel 269"/>
    <w:qFormat/>
    <w:rPr>
      <w:rFonts w:cs="Courier New"/>
    </w:rPr>
  </w:style>
  <w:style w:type="character" w:styleId="ListLabel270">
    <w:name w:val="ListLabel 270"/>
    <w:qFormat/>
    <w:rPr>
      <w:rFonts w:cs="Wingdings"/>
    </w:rPr>
  </w:style>
  <w:style w:type="character" w:styleId="ListLabel271">
    <w:name w:val="ListLabel 271"/>
    <w:qFormat/>
    <w:rPr>
      <w:rFonts w:cs="Symbol"/>
    </w:rPr>
  </w:style>
  <w:style w:type="character" w:styleId="ListLabel272">
    <w:name w:val="ListLabel 272"/>
    <w:qFormat/>
    <w:rPr>
      <w:rFonts w:cs="Courier New"/>
    </w:rPr>
  </w:style>
  <w:style w:type="character" w:styleId="ListLabel273">
    <w:name w:val="ListLabel 273"/>
    <w:qFormat/>
    <w:rPr>
      <w:rFonts w:cs="Wingdings"/>
    </w:rPr>
  </w:style>
  <w:style w:type="character" w:styleId="ListLabel274">
    <w:name w:val="ListLabel 274"/>
    <w:qFormat/>
    <w:rPr>
      <w:sz w:val="20"/>
      <w:szCs w:val="20"/>
      <w:lang w:val="en-US"/>
    </w:rPr>
  </w:style>
  <w:style w:type="character" w:styleId="ListLabel275">
    <w:name w:val="ListLabel 27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76">
    <w:name w:val="ListLabel 276"/>
    <w:qFormat/>
    <w:rPr>
      <w:rFonts w:cs="Courier New"/>
    </w:rPr>
  </w:style>
  <w:style w:type="character" w:styleId="ListLabel277">
    <w:name w:val="ListLabel 277"/>
    <w:qFormat/>
    <w:rPr>
      <w:rFonts w:cs="Wingdings"/>
    </w:rPr>
  </w:style>
  <w:style w:type="character" w:styleId="ListLabel278">
    <w:name w:val="ListLabel 278"/>
    <w:qFormat/>
    <w:rPr>
      <w:rFonts w:cs="Symbol"/>
    </w:rPr>
  </w:style>
  <w:style w:type="character" w:styleId="ListLabel279">
    <w:name w:val="ListLabel 279"/>
    <w:qFormat/>
    <w:rPr>
      <w:rFonts w:cs="Courier New"/>
    </w:rPr>
  </w:style>
  <w:style w:type="character" w:styleId="ListLabel280">
    <w:name w:val="ListLabel 280"/>
    <w:qFormat/>
    <w:rPr>
      <w:rFonts w:cs="Wingdings"/>
    </w:rPr>
  </w:style>
  <w:style w:type="character" w:styleId="ListLabel281">
    <w:name w:val="ListLabel 281"/>
    <w:qFormat/>
    <w:rPr>
      <w:rFonts w:cs="Symbol"/>
    </w:rPr>
  </w:style>
  <w:style w:type="character" w:styleId="ListLabel282">
    <w:name w:val="ListLabel 282"/>
    <w:qFormat/>
    <w:rPr>
      <w:rFonts w:cs="Courier New"/>
    </w:rPr>
  </w:style>
  <w:style w:type="character" w:styleId="ListLabel283">
    <w:name w:val="ListLabel 283"/>
    <w:qFormat/>
    <w:rPr>
      <w:rFonts w:cs="Wingdings"/>
    </w:rPr>
  </w:style>
  <w:style w:type="character" w:styleId="ListLabel284">
    <w:name w:val="ListLabel 284"/>
    <w:qFormat/>
    <w:rPr>
      <w:sz w:val="20"/>
      <w:szCs w:val="20"/>
      <w:lang w:val="en-US"/>
    </w:rPr>
  </w:style>
  <w:style w:type="character" w:styleId="ListLabel285">
    <w:name w:val="ListLabel 28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86">
    <w:name w:val="ListLabel 286"/>
    <w:qFormat/>
    <w:rPr>
      <w:rFonts w:cs="Courier New"/>
    </w:rPr>
  </w:style>
  <w:style w:type="character" w:styleId="ListLabel287">
    <w:name w:val="ListLabel 287"/>
    <w:qFormat/>
    <w:rPr>
      <w:rFonts w:cs="Wingdings"/>
    </w:rPr>
  </w:style>
  <w:style w:type="character" w:styleId="ListLabel288">
    <w:name w:val="ListLabel 288"/>
    <w:qFormat/>
    <w:rPr>
      <w:rFonts w:cs="Symbol"/>
    </w:rPr>
  </w:style>
  <w:style w:type="character" w:styleId="ListLabel289">
    <w:name w:val="ListLabel 289"/>
    <w:qFormat/>
    <w:rPr>
      <w:rFonts w:cs="Courier New"/>
    </w:rPr>
  </w:style>
  <w:style w:type="character" w:styleId="ListLabel290">
    <w:name w:val="ListLabel 290"/>
    <w:qFormat/>
    <w:rPr>
      <w:rFonts w:cs="Wingdings"/>
    </w:rPr>
  </w:style>
  <w:style w:type="character" w:styleId="ListLabel291">
    <w:name w:val="ListLabel 291"/>
    <w:qFormat/>
    <w:rPr>
      <w:rFonts w:cs="Symbol"/>
    </w:rPr>
  </w:style>
  <w:style w:type="character" w:styleId="ListLabel292">
    <w:name w:val="ListLabel 292"/>
    <w:qFormat/>
    <w:rPr>
      <w:rFonts w:cs="Courier New"/>
    </w:rPr>
  </w:style>
  <w:style w:type="character" w:styleId="ListLabel293">
    <w:name w:val="ListLabel 293"/>
    <w:qFormat/>
    <w:rPr>
      <w:rFonts w:cs="Wingdings"/>
    </w:rPr>
  </w:style>
  <w:style w:type="character" w:styleId="ListLabel294">
    <w:name w:val="ListLabel 294"/>
    <w:qFormat/>
    <w:rPr>
      <w:sz w:val="20"/>
      <w:szCs w:val="20"/>
      <w:lang w:val="en-US"/>
    </w:rPr>
  </w:style>
  <w:style w:type="character" w:styleId="ListLabel295">
    <w:name w:val="ListLabel 29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296">
    <w:name w:val="ListLabel 296"/>
    <w:qFormat/>
    <w:rPr>
      <w:rFonts w:cs="Courier New"/>
    </w:rPr>
  </w:style>
  <w:style w:type="character" w:styleId="ListLabel297">
    <w:name w:val="ListLabel 297"/>
    <w:qFormat/>
    <w:rPr>
      <w:rFonts w:cs="Wingdings"/>
    </w:rPr>
  </w:style>
  <w:style w:type="character" w:styleId="ListLabel298">
    <w:name w:val="ListLabel 298"/>
    <w:qFormat/>
    <w:rPr>
      <w:rFonts w:cs="Symbol"/>
    </w:rPr>
  </w:style>
  <w:style w:type="character" w:styleId="ListLabel299">
    <w:name w:val="ListLabel 299"/>
    <w:qFormat/>
    <w:rPr>
      <w:rFonts w:cs="Courier New"/>
    </w:rPr>
  </w:style>
  <w:style w:type="character" w:styleId="ListLabel300">
    <w:name w:val="ListLabel 300"/>
    <w:qFormat/>
    <w:rPr>
      <w:rFonts w:cs="Wingdings"/>
    </w:rPr>
  </w:style>
  <w:style w:type="character" w:styleId="ListLabel301">
    <w:name w:val="ListLabel 301"/>
    <w:qFormat/>
    <w:rPr>
      <w:rFonts w:cs="Symbol"/>
    </w:rPr>
  </w:style>
  <w:style w:type="character" w:styleId="ListLabel302">
    <w:name w:val="ListLabel 302"/>
    <w:qFormat/>
    <w:rPr>
      <w:rFonts w:cs="Courier New"/>
    </w:rPr>
  </w:style>
  <w:style w:type="character" w:styleId="ListLabel303">
    <w:name w:val="ListLabel 303"/>
    <w:qFormat/>
    <w:rPr>
      <w:rFonts w:cs="Wingdings"/>
    </w:rPr>
  </w:style>
  <w:style w:type="character" w:styleId="ListLabel304">
    <w:name w:val="ListLabel 304"/>
    <w:qFormat/>
    <w:rPr>
      <w:sz w:val="20"/>
      <w:szCs w:val="20"/>
      <w:lang w:val="en-US"/>
    </w:rPr>
  </w:style>
  <w:style w:type="character" w:styleId="ListLabel305">
    <w:name w:val="ListLabel 30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306">
    <w:name w:val="ListLabel 306"/>
    <w:qFormat/>
    <w:rPr>
      <w:rFonts w:cs="Courier New"/>
    </w:rPr>
  </w:style>
  <w:style w:type="character" w:styleId="ListLabel307">
    <w:name w:val="ListLabel 307"/>
    <w:qFormat/>
    <w:rPr>
      <w:rFonts w:cs="Wingdings"/>
    </w:rPr>
  </w:style>
  <w:style w:type="character" w:styleId="ListLabel308">
    <w:name w:val="ListLabel 308"/>
    <w:qFormat/>
    <w:rPr>
      <w:rFonts w:cs="Symbol"/>
    </w:rPr>
  </w:style>
  <w:style w:type="character" w:styleId="ListLabel309">
    <w:name w:val="ListLabel 309"/>
    <w:qFormat/>
    <w:rPr>
      <w:rFonts w:cs="Courier New"/>
    </w:rPr>
  </w:style>
  <w:style w:type="character" w:styleId="ListLabel310">
    <w:name w:val="ListLabel 310"/>
    <w:qFormat/>
    <w:rPr>
      <w:rFonts w:cs="Wingdings"/>
    </w:rPr>
  </w:style>
  <w:style w:type="character" w:styleId="ListLabel311">
    <w:name w:val="ListLabel 311"/>
    <w:qFormat/>
    <w:rPr>
      <w:rFonts w:cs="Symbol"/>
    </w:rPr>
  </w:style>
  <w:style w:type="character" w:styleId="ListLabel312">
    <w:name w:val="ListLabel 312"/>
    <w:qFormat/>
    <w:rPr>
      <w:rFonts w:cs="Courier New"/>
    </w:rPr>
  </w:style>
  <w:style w:type="character" w:styleId="ListLabel313">
    <w:name w:val="ListLabel 313"/>
    <w:qFormat/>
    <w:rPr>
      <w:rFonts w:cs="Wingdings"/>
    </w:rPr>
  </w:style>
  <w:style w:type="character" w:styleId="ListLabel314">
    <w:name w:val="ListLabel 314"/>
    <w:qFormat/>
    <w:rPr>
      <w:sz w:val="20"/>
      <w:szCs w:val="20"/>
      <w:lang w:val="en-US"/>
    </w:rPr>
  </w:style>
  <w:style w:type="character" w:styleId="ListLabel315">
    <w:name w:val="ListLabel 31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316">
    <w:name w:val="ListLabel 316"/>
    <w:qFormat/>
    <w:rPr>
      <w:rFonts w:cs="Courier New"/>
    </w:rPr>
  </w:style>
  <w:style w:type="character" w:styleId="ListLabel317">
    <w:name w:val="ListLabel 317"/>
    <w:qFormat/>
    <w:rPr>
      <w:rFonts w:cs="Wingdings"/>
    </w:rPr>
  </w:style>
  <w:style w:type="character" w:styleId="ListLabel318">
    <w:name w:val="ListLabel 318"/>
    <w:qFormat/>
    <w:rPr>
      <w:rFonts w:cs="Symbol"/>
    </w:rPr>
  </w:style>
  <w:style w:type="character" w:styleId="ListLabel319">
    <w:name w:val="ListLabel 319"/>
    <w:qFormat/>
    <w:rPr>
      <w:rFonts w:cs="Courier New"/>
    </w:rPr>
  </w:style>
  <w:style w:type="character" w:styleId="ListLabel320">
    <w:name w:val="ListLabel 320"/>
    <w:qFormat/>
    <w:rPr>
      <w:rFonts w:cs="Wingdings"/>
    </w:rPr>
  </w:style>
  <w:style w:type="character" w:styleId="ListLabel321">
    <w:name w:val="ListLabel 321"/>
    <w:qFormat/>
    <w:rPr>
      <w:rFonts w:cs="Symbol"/>
    </w:rPr>
  </w:style>
  <w:style w:type="character" w:styleId="ListLabel322">
    <w:name w:val="ListLabel 322"/>
    <w:qFormat/>
    <w:rPr>
      <w:rFonts w:cs="Courier New"/>
    </w:rPr>
  </w:style>
  <w:style w:type="character" w:styleId="ListLabel323">
    <w:name w:val="ListLabel 323"/>
    <w:qFormat/>
    <w:rPr>
      <w:rFonts w:cs="Wingdings"/>
    </w:rPr>
  </w:style>
  <w:style w:type="character" w:styleId="ListLabel324">
    <w:name w:val="ListLabel 324"/>
    <w:qFormat/>
    <w:rPr>
      <w:sz w:val="20"/>
      <w:szCs w:val="20"/>
      <w:lang w:val="en-US"/>
    </w:rPr>
  </w:style>
  <w:style w:type="character" w:styleId="ListLabel325">
    <w:name w:val="ListLabel 32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326">
    <w:name w:val="ListLabel 326"/>
    <w:qFormat/>
    <w:rPr>
      <w:rFonts w:cs="Courier New"/>
    </w:rPr>
  </w:style>
  <w:style w:type="character" w:styleId="ListLabel327">
    <w:name w:val="ListLabel 327"/>
    <w:qFormat/>
    <w:rPr>
      <w:rFonts w:cs="Wingdings"/>
    </w:rPr>
  </w:style>
  <w:style w:type="character" w:styleId="ListLabel328">
    <w:name w:val="ListLabel 328"/>
    <w:qFormat/>
    <w:rPr>
      <w:rFonts w:cs="Symbol"/>
    </w:rPr>
  </w:style>
  <w:style w:type="character" w:styleId="ListLabel329">
    <w:name w:val="ListLabel 329"/>
    <w:qFormat/>
    <w:rPr>
      <w:rFonts w:cs="Courier New"/>
    </w:rPr>
  </w:style>
  <w:style w:type="character" w:styleId="ListLabel330">
    <w:name w:val="ListLabel 330"/>
    <w:qFormat/>
    <w:rPr>
      <w:rFonts w:cs="Wingdings"/>
    </w:rPr>
  </w:style>
  <w:style w:type="character" w:styleId="ListLabel331">
    <w:name w:val="ListLabel 331"/>
    <w:qFormat/>
    <w:rPr>
      <w:rFonts w:cs="Symbol"/>
    </w:rPr>
  </w:style>
  <w:style w:type="character" w:styleId="ListLabel332">
    <w:name w:val="ListLabel 332"/>
    <w:qFormat/>
    <w:rPr>
      <w:rFonts w:cs="Courier New"/>
    </w:rPr>
  </w:style>
  <w:style w:type="character" w:styleId="ListLabel333">
    <w:name w:val="ListLabel 333"/>
    <w:qFormat/>
    <w:rPr>
      <w:rFonts w:cs="Wingdings"/>
    </w:rPr>
  </w:style>
  <w:style w:type="character" w:styleId="ListLabel334">
    <w:name w:val="ListLabel 334"/>
    <w:qFormat/>
    <w:rPr>
      <w:sz w:val="20"/>
      <w:szCs w:val="20"/>
      <w:lang w:val="en-US"/>
    </w:rPr>
  </w:style>
  <w:style w:type="character" w:styleId="ListLabel335">
    <w:name w:val="ListLabel 33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336">
    <w:name w:val="ListLabel 336"/>
    <w:qFormat/>
    <w:rPr>
      <w:rFonts w:cs="Courier New"/>
    </w:rPr>
  </w:style>
  <w:style w:type="character" w:styleId="ListLabel337">
    <w:name w:val="ListLabel 337"/>
    <w:qFormat/>
    <w:rPr>
      <w:rFonts w:cs="Wingdings"/>
    </w:rPr>
  </w:style>
  <w:style w:type="character" w:styleId="ListLabel338">
    <w:name w:val="ListLabel 338"/>
    <w:qFormat/>
    <w:rPr>
      <w:rFonts w:cs="Symbol"/>
    </w:rPr>
  </w:style>
  <w:style w:type="character" w:styleId="ListLabel339">
    <w:name w:val="ListLabel 339"/>
    <w:qFormat/>
    <w:rPr>
      <w:rFonts w:cs="Courier New"/>
    </w:rPr>
  </w:style>
  <w:style w:type="character" w:styleId="ListLabel340">
    <w:name w:val="ListLabel 340"/>
    <w:qFormat/>
    <w:rPr>
      <w:rFonts w:cs="Wingdings"/>
    </w:rPr>
  </w:style>
  <w:style w:type="character" w:styleId="ListLabel341">
    <w:name w:val="ListLabel 341"/>
    <w:qFormat/>
    <w:rPr>
      <w:rFonts w:cs="Symbol"/>
    </w:rPr>
  </w:style>
  <w:style w:type="character" w:styleId="ListLabel342">
    <w:name w:val="ListLabel 342"/>
    <w:qFormat/>
    <w:rPr>
      <w:rFonts w:cs="Courier New"/>
    </w:rPr>
  </w:style>
  <w:style w:type="character" w:styleId="ListLabel343">
    <w:name w:val="ListLabel 343"/>
    <w:qFormat/>
    <w:rPr>
      <w:rFonts w:cs="Wingdings"/>
    </w:rPr>
  </w:style>
  <w:style w:type="character" w:styleId="ListLabel344">
    <w:name w:val="ListLabel 344"/>
    <w:qFormat/>
    <w:rPr>
      <w:sz w:val="20"/>
      <w:szCs w:val="20"/>
      <w:lang w:val="en-US"/>
    </w:rPr>
  </w:style>
  <w:style w:type="character" w:styleId="ListLabel345">
    <w:name w:val="ListLabel 345"/>
    <w:qFormat/>
    <w:rPr>
      <w:rFonts w:ascii="Times New Roman" w:hAnsi="Times New Roman" w:eastAsia="Arial" w:cs="Times New Roman"/>
      <w:b/>
      <w:bCs/>
      <w:i w:val="false"/>
      <w:iCs w:val="false"/>
      <w:strike w:val="false"/>
      <w:dstrike w:val="false"/>
      <w:color w:val="000000"/>
      <w:position w:val="0"/>
      <w:sz w:val="20"/>
      <w:sz w:val="20"/>
      <w:szCs w:val="20"/>
      <w:vertAlign w:val="baseline"/>
    </w:rPr>
  </w:style>
  <w:style w:type="character" w:styleId="ListLabel346">
    <w:name w:val="ListLabel 346"/>
    <w:qFormat/>
    <w:rPr>
      <w:rFonts w:cs="Courier New"/>
    </w:rPr>
  </w:style>
  <w:style w:type="character" w:styleId="ListLabel347">
    <w:name w:val="ListLabel 347"/>
    <w:qFormat/>
    <w:rPr>
      <w:rFonts w:cs="Wingdings"/>
    </w:rPr>
  </w:style>
  <w:style w:type="character" w:styleId="ListLabel348">
    <w:name w:val="ListLabel 348"/>
    <w:qFormat/>
    <w:rPr>
      <w:rFonts w:cs="Symbol"/>
    </w:rPr>
  </w:style>
  <w:style w:type="character" w:styleId="ListLabel349">
    <w:name w:val="ListLabel 349"/>
    <w:qFormat/>
    <w:rPr>
      <w:rFonts w:cs="Courier New"/>
    </w:rPr>
  </w:style>
  <w:style w:type="character" w:styleId="ListLabel350">
    <w:name w:val="ListLabel 350"/>
    <w:qFormat/>
    <w:rPr>
      <w:rFonts w:cs="Wingdings"/>
    </w:rPr>
  </w:style>
  <w:style w:type="character" w:styleId="ListLabel351">
    <w:name w:val="ListLabel 351"/>
    <w:qFormat/>
    <w:rPr>
      <w:rFonts w:cs="Symbol"/>
    </w:rPr>
  </w:style>
  <w:style w:type="character" w:styleId="ListLabel352">
    <w:name w:val="ListLabel 352"/>
    <w:qFormat/>
    <w:rPr>
      <w:rFonts w:cs="Courier New"/>
    </w:rPr>
  </w:style>
  <w:style w:type="character" w:styleId="ListLabel353">
    <w:name w:val="ListLabel 353"/>
    <w:qFormat/>
    <w:rPr>
      <w:rFonts w:cs="Wingdings"/>
    </w:rPr>
  </w:style>
  <w:style w:type="character" w:styleId="ListLabel354">
    <w:name w:val="ListLabel 354"/>
    <w:qFormat/>
    <w:rPr>
      <w:sz w:val="20"/>
      <w:szCs w:val="20"/>
      <w:lang w:val="en-US"/>
    </w:rPr>
  </w:style>
  <w:style w:type="character" w:styleId="ListLabel413">
    <w:name w:val="ListLabel 413"/>
    <w:qFormat/>
    <w:rPr>
      <w:sz w:val="20"/>
      <w:szCs w:val="20"/>
      <w:lang w:val="en-US"/>
    </w:rPr>
  </w:style>
  <w:style w:type="character" w:styleId="ListLabel414">
    <w:name w:val="ListLabel 414"/>
    <w:qFormat/>
    <w:rPr>
      <w:rFonts w:eastAsia="Arial" w:cs="Times New Roman"/>
      <w:b/>
      <w:bCs/>
      <w:i w:val="false"/>
      <w:iCs w:val="false"/>
      <w:strike w:val="false"/>
      <w:dstrike w:val="false"/>
      <w:color w:val="000000"/>
      <w:position w:val="0"/>
      <w:sz w:val="20"/>
      <w:sz w:val="20"/>
      <w:szCs w:val="20"/>
      <w:vertAlign w:val="baseline"/>
    </w:rPr>
  </w:style>
  <w:style w:type="character" w:styleId="ListLabel415">
    <w:name w:val="ListLabel 415"/>
    <w:qFormat/>
    <w:rPr>
      <w:rFonts w:cs="Courier New"/>
    </w:rPr>
  </w:style>
  <w:style w:type="character" w:styleId="ListLabel416">
    <w:name w:val="ListLabel 416"/>
    <w:qFormat/>
    <w:rPr>
      <w:rFonts w:cs="Wingdings"/>
    </w:rPr>
  </w:style>
  <w:style w:type="character" w:styleId="ListLabel417">
    <w:name w:val="ListLabel 417"/>
    <w:qFormat/>
    <w:rPr>
      <w:rFonts w:cs="Symbol"/>
    </w:rPr>
  </w:style>
  <w:style w:type="character" w:styleId="ListLabel418">
    <w:name w:val="ListLabel 418"/>
    <w:qFormat/>
    <w:rPr>
      <w:rFonts w:cs="Courier New"/>
    </w:rPr>
  </w:style>
  <w:style w:type="character" w:styleId="ListLabel419">
    <w:name w:val="ListLabel 419"/>
    <w:qFormat/>
    <w:rPr>
      <w:rFonts w:cs="Wingdings"/>
    </w:rPr>
  </w:style>
  <w:style w:type="character" w:styleId="ListLabel420">
    <w:name w:val="ListLabel 420"/>
    <w:qFormat/>
    <w:rPr>
      <w:rFonts w:cs="Symbol"/>
    </w:rPr>
  </w:style>
  <w:style w:type="character" w:styleId="ListLabel421">
    <w:name w:val="ListLabel 421"/>
    <w:qFormat/>
    <w:rPr>
      <w:rFonts w:cs="Courier New"/>
    </w:rPr>
  </w:style>
  <w:style w:type="character" w:styleId="ListLabel422">
    <w:name w:val="ListLabel 422"/>
    <w:qFormat/>
    <w:rPr>
      <w:rFonts w:cs="Wingdings"/>
    </w:rPr>
  </w:style>
  <w:style w:type="character" w:styleId="ListLabel423">
    <w:name w:val="ListLabel 423"/>
    <w:qFormat/>
    <w:rPr>
      <w:sz w:val="20"/>
      <w:szCs w:val="20"/>
      <w:lang w:val="en-US"/>
    </w:rPr>
  </w:style>
  <w:style w:type="character" w:styleId="ListLabel424">
    <w:name w:val="ListLabel 424"/>
    <w:qFormat/>
    <w:rPr>
      <w:rFonts w:eastAsia="Arial" w:cs="Times New Roman"/>
      <w:b/>
      <w:bCs/>
      <w:i w:val="false"/>
      <w:iCs w:val="false"/>
      <w:strike w:val="false"/>
      <w:dstrike w:val="false"/>
      <w:color w:val="000000"/>
      <w:position w:val="0"/>
      <w:sz w:val="20"/>
      <w:sz w:val="20"/>
      <w:szCs w:val="20"/>
      <w:vertAlign w:val="baseline"/>
    </w:rPr>
  </w:style>
  <w:style w:type="character" w:styleId="ListLabel425">
    <w:name w:val="ListLabel 425"/>
    <w:qFormat/>
    <w:rPr>
      <w:rFonts w:cs="Courier New"/>
    </w:rPr>
  </w:style>
  <w:style w:type="character" w:styleId="ListLabel426">
    <w:name w:val="ListLabel 426"/>
    <w:qFormat/>
    <w:rPr>
      <w:rFonts w:cs="Wingdings"/>
    </w:rPr>
  </w:style>
  <w:style w:type="character" w:styleId="ListLabel427">
    <w:name w:val="ListLabel 427"/>
    <w:qFormat/>
    <w:rPr>
      <w:rFonts w:cs="Symbol"/>
    </w:rPr>
  </w:style>
  <w:style w:type="character" w:styleId="ListLabel428">
    <w:name w:val="ListLabel 428"/>
    <w:qFormat/>
    <w:rPr>
      <w:rFonts w:cs="Courier New"/>
    </w:rPr>
  </w:style>
  <w:style w:type="character" w:styleId="ListLabel429">
    <w:name w:val="ListLabel 429"/>
    <w:qFormat/>
    <w:rPr>
      <w:rFonts w:cs="Wingdings"/>
    </w:rPr>
  </w:style>
  <w:style w:type="character" w:styleId="ListLabel430">
    <w:name w:val="ListLabel 430"/>
    <w:qFormat/>
    <w:rPr>
      <w:rFonts w:cs="Symbol"/>
    </w:rPr>
  </w:style>
  <w:style w:type="character" w:styleId="ListLabel431">
    <w:name w:val="ListLabel 431"/>
    <w:qFormat/>
    <w:rPr>
      <w:rFonts w:cs="Courier New"/>
    </w:rPr>
  </w:style>
  <w:style w:type="character" w:styleId="ListLabel432">
    <w:name w:val="ListLabel 432"/>
    <w:qFormat/>
    <w:rPr>
      <w:rFonts w:cs="Wingdings"/>
    </w:rPr>
  </w:style>
  <w:style w:type="character" w:styleId="ListLabel433">
    <w:name w:val="ListLabel 433"/>
    <w:qFormat/>
    <w:rPr>
      <w:sz w:val="20"/>
      <w:szCs w:val="20"/>
      <w:lang w:val="en-US"/>
    </w:rPr>
  </w:style>
  <w:style w:type="character" w:styleId="ListLabel434">
    <w:name w:val="ListLabel 434"/>
    <w:qFormat/>
    <w:rPr>
      <w:rFonts w:eastAsia="Arial" w:cs="Times New Roman"/>
      <w:b/>
      <w:bCs/>
      <w:i w:val="false"/>
      <w:iCs w:val="false"/>
      <w:strike w:val="false"/>
      <w:dstrike w:val="false"/>
      <w:color w:val="000000"/>
      <w:position w:val="0"/>
      <w:sz w:val="20"/>
      <w:sz w:val="20"/>
      <w:szCs w:val="20"/>
      <w:vertAlign w:val="baseline"/>
    </w:rPr>
  </w:style>
  <w:style w:type="character" w:styleId="ListLabel435">
    <w:name w:val="ListLabel 435"/>
    <w:qFormat/>
    <w:rPr>
      <w:rFonts w:cs="Courier New"/>
    </w:rPr>
  </w:style>
  <w:style w:type="character" w:styleId="ListLabel436">
    <w:name w:val="ListLabel 436"/>
    <w:qFormat/>
    <w:rPr>
      <w:rFonts w:cs="Wingdings"/>
    </w:rPr>
  </w:style>
  <w:style w:type="character" w:styleId="ListLabel437">
    <w:name w:val="ListLabel 437"/>
    <w:qFormat/>
    <w:rPr>
      <w:rFonts w:cs="Symbol"/>
    </w:rPr>
  </w:style>
  <w:style w:type="character" w:styleId="ListLabel438">
    <w:name w:val="ListLabel 438"/>
    <w:qFormat/>
    <w:rPr>
      <w:rFonts w:cs="Courier New"/>
    </w:rPr>
  </w:style>
  <w:style w:type="character" w:styleId="ListLabel439">
    <w:name w:val="ListLabel 439"/>
    <w:qFormat/>
    <w:rPr>
      <w:rFonts w:cs="Wingdings"/>
    </w:rPr>
  </w:style>
  <w:style w:type="character" w:styleId="ListLabel440">
    <w:name w:val="ListLabel 440"/>
    <w:qFormat/>
    <w:rPr>
      <w:rFonts w:cs="Symbol"/>
    </w:rPr>
  </w:style>
  <w:style w:type="character" w:styleId="ListLabel441">
    <w:name w:val="ListLabel 441"/>
    <w:qFormat/>
    <w:rPr>
      <w:rFonts w:cs="Courier New"/>
    </w:rPr>
  </w:style>
  <w:style w:type="character" w:styleId="ListLabel442">
    <w:name w:val="ListLabel 442"/>
    <w:qFormat/>
    <w:rPr>
      <w:rFonts w:cs="Wingdings"/>
    </w:rPr>
  </w:style>
  <w:style w:type="character" w:styleId="ListLabel443">
    <w:name w:val="ListLabel 443"/>
    <w:qFormat/>
    <w:rPr>
      <w:sz w:val="20"/>
      <w:szCs w:val="20"/>
      <w:lang w:val="en-US"/>
    </w:rPr>
  </w:style>
  <w:style w:type="character" w:styleId="ListLabel444">
    <w:name w:val="ListLabel 444"/>
    <w:qFormat/>
    <w:rPr>
      <w:rFonts w:eastAsia="Arial" w:cs="Times New Roman"/>
      <w:b/>
      <w:bCs/>
      <w:i w:val="false"/>
      <w:iCs w:val="false"/>
      <w:strike w:val="false"/>
      <w:dstrike w:val="false"/>
      <w:color w:val="000000"/>
      <w:position w:val="0"/>
      <w:sz w:val="20"/>
      <w:sz w:val="20"/>
      <w:szCs w:val="20"/>
      <w:vertAlign w:val="baseline"/>
    </w:rPr>
  </w:style>
  <w:style w:type="character" w:styleId="ListLabel445">
    <w:name w:val="ListLabel 445"/>
    <w:qFormat/>
    <w:rPr>
      <w:rFonts w:cs="Courier New"/>
    </w:rPr>
  </w:style>
  <w:style w:type="character" w:styleId="ListLabel446">
    <w:name w:val="ListLabel 446"/>
    <w:qFormat/>
    <w:rPr>
      <w:rFonts w:cs="Wingdings"/>
    </w:rPr>
  </w:style>
  <w:style w:type="character" w:styleId="ListLabel447">
    <w:name w:val="ListLabel 447"/>
    <w:qFormat/>
    <w:rPr>
      <w:rFonts w:cs="Symbol"/>
    </w:rPr>
  </w:style>
  <w:style w:type="character" w:styleId="ListLabel448">
    <w:name w:val="ListLabel 448"/>
    <w:qFormat/>
    <w:rPr>
      <w:rFonts w:cs="Courier New"/>
    </w:rPr>
  </w:style>
  <w:style w:type="character" w:styleId="ListLabel449">
    <w:name w:val="ListLabel 449"/>
    <w:qFormat/>
    <w:rPr>
      <w:rFonts w:cs="Wingdings"/>
    </w:rPr>
  </w:style>
  <w:style w:type="character" w:styleId="ListLabel450">
    <w:name w:val="ListLabel 450"/>
    <w:qFormat/>
    <w:rPr>
      <w:rFonts w:cs="Symbol"/>
    </w:rPr>
  </w:style>
  <w:style w:type="character" w:styleId="ListLabel451">
    <w:name w:val="ListLabel 451"/>
    <w:qFormat/>
    <w:rPr>
      <w:rFonts w:cs="Courier New"/>
    </w:rPr>
  </w:style>
  <w:style w:type="character" w:styleId="ListLabel452">
    <w:name w:val="ListLabel 452"/>
    <w:qFormat/>
    <w:rPr>
      <w:rFonts w:cs="Wingdings"/>
    </w:rPr>
  </w:style>
  <w:style w:type="character" w:styleId="ListLabel453">
    <w:name w:val="ListLabel 453"/>
    <w:qFormat/>
    <w:rPr>
      <w:sz w:val="20"/>
      <w:szCs w:val="20"/>
      <w:lang w:val="en-US"/>
    </w:rPr>
  </w:style>
  <w:style w:type="character" w:styleId="ListLabel454">
    <w:name w:val="ListLabel 454"/>
    <w:qFormat/>
    <w:rPr>
      <w:rFonts w:eastAsia="Arial" w:cs="Times New Roman"/>
      <w:b/>
      <w:bCs/>
      <w:i w:val="false"/>
      <w:iCs w:val="false"/>
      <w:strike w:val="false"/>
      <w:dstrike w:val="false"/>
      <w:color w:val="000000"/>
      <w:position w:val="0"/>
      <w:sz w:val="20"/>
      <w:sz w:val="20"/>
      <w:szCs w:val="20"/>
      <w:vertAlign w:val="baseline"/>
    </w:rPr>
  </w:style>
  <w:style w:type="character" w:styleId="ListLabel455">
    <w:name w:val="ListLabel 455"/>
    <w:qFormat/>
    <w:rPr>
      <w:rFonts w:cs="Courier New"/>
    </w:rPr>
  </w:style>
  <w:style w:type="character" w:styleId="ListLabel456">
    <w:name w:val="ListLabel 456"/>
    <w:qFormat/>
    <w:rPr>
      <w:rFonts w:cs="Wingdings"/>
    </w:rPr>
  </w:style>
  <w:style w:type="character" w:styleId="ListLabel457">
    <w:name w:val="ListLabel 457"/>
    <w:qFormat/>
    <w:rPr>
      <w:rFonts w:cs="Symbol"/>
    </w:rPr>
  </w:style>
  <w:style w:type="character" w:styleId="ListLabel458">
    <w:name w:val="ListLabel 458"/>
    <w:qFormat/>
    <w:rPr>
      <w:rFonts w:cs="Courier New"/>
    </w:rPr>
  </w:style>
  <w:style w:type="character" w:styleId="ListLabel459">
    <w:name w:val="ListLabel 459"/>
    <w:qFormat/>
    <w:rPr>
      <w:rFonts w:cs="Wingdings"/>
    </w:rPr>
  </w:style>
  <w:style w:type="character" w:styleId="ListLabel460">
    <w:name w:val="ListLabel 460"/>
    <w:qFormat/>
    <w:rPr>
      <w:rFonts w:cs="Symbol"/>
    </w:rPr>
  </w:style>
  <w:style w:type="character" w:styleId="ListLabel461">
    <w:name w:val="ListLabel 461"/>
    <w:qFormat/>
    <w:rPr>
      <w:rFonts w:cs="Courier New"/>
    </w:rPr>
  </w:style>
  <w:style w:type="character" w:styleId="ListLabel462">
    <w:name w:val="ListLabel 462"/>
    <w:qFormat/>
    <w:rPr>
      <w:rFonts w:cs="Wingdings"/>
    </w:rPr>
  </w:style>
  <w:style w:type="character" w:styleId="ListLabel463">
    <w:name w:val="ListLabel 463"/>
    <w:qFormat/>
    <w:rPr>
      <w:sz w:val="20"/>
      <w:szCs w:val="20"/>
      <w:lang w:val="en-US"/>
    </w:rPr>
  </w:style>
  <w:style w:type="character" w:styleId="ListLabel464">
    <w:name w:val="ListLabel 464"/>
    <w:qFormat/>
    <w:rPr>
      <w:rFonts w:eastAsia="Arial" w:cs="Times New Roman"/>
      <w:b/>
      <w:bCs/>
      <w:i w:val="false"/>
      <w:iCs w:val="false"/>
      <w:strike w:val="false"/>
      <w:dstrike w:val="false"/>
      <w:color w:val="000000"/>
      <w:position w:val="0"/>
      <w:sz w:val="20"/>
      <w:sz w:val="20"/>
      <w:szCs w:val="20"/>
      <w:vertAlign w:val="baseline"/>
    </w:rPr>
  </w:style>
  <w:style w:type="character" w:styleId="ListLabel465">
    <w:name w:val="ListLabel 465"/>
    <w:qFormat/>
    <w:rPr>
      <w:rFonts w:cs="Courier New"/>
    </w:rPr>
  </w:style>
  <w:style w:type="character" w:styleId="ListLabel466">
    <w:name w:val="ListLabel 466"/>
    <w:qFormat/>
    <w:rPr>
      <w:rFonts w:cs="Wingdings"/>
    </w:rPr>
  </w:style>
  <w:style w:type="character" w:styleId="ListLabel467">
    <w:name w:val="ListLabel 467"/>
    <w:qFormat/>
    <w:rPr>
      <w:rFonts w:cs="Symbol"/>
    </w:rPr>
  </w:style>
  <w:style w:type="character" w:styleId="ListLabel468">
    <w:name w:val="ListLabel 468"/>
    <w:qFormat/>
    <w:rPr>
      <w:rFonts w:cs="Courier New"/>
    </w:rPr>
  </w:style>
  <w:style w:type="character" w:styleId="ListLabel469">
    <w:name w:val="ListLabel 469"/>
    <w:qFormat/>
    <w:rPr>
      <w:rFonts w:cs="Wingdings"/>
    </w:rPr>
  </w:style>
  <w:style w:type="character" w:styleId="ListLabel470">
    <w:name w:val="ListLabel 470"/>
    <w:qFormat/>
    <w:rPr>
      <w:rFonts w:cs="Symbol"/>
    </w:rPr>
  </w:style>
  <w:style w:type="character" w:styleId="ListLabel471">
    <w:name w:val="ListLabel 471"/>
    <w:qFormat/>
    <w:rPr>
      <w:rFonts w:cs="Courier New"/>
    </w:rPr>
  </w:style>
  <w:style w:type="character" w:styleId="ListLabel472">
    <w:name w:val="ListLabel 472"/>
    <w:qFormat/>
    <w:rPr>
      <w:rFonts w:cs="Wingdings"/>
    </w:rPr>
  </w:style>
  <w:style w:type="character" w:styleId="ListLabel473">
    <w:name w:val="ListLabel 473"/>
    <w:qFormat/>
    <w:rPr>
      <w:sz w:val="20"/>
      <w:szCs w:val="20"/>
      <w:lang w:val="en-US"/>
    </w:rPr>
  </w:style>
  <w:style w:type="character" w:styleId="ListLabel474">
    <w:name w:val="ListLabel 474"/>
    <w:qFormat/>
    <w:rPr>
      <w:rFonts w:eastAsia="Arial" w:cs="Times New Roman"/>
      <w:b/>
      <w:bCs/>
      <w:i w:val="false"/>
      <w:iCs w:val="false"/>
      <w:strike w:val="false"/>
      <w:dstrike w:val="false"/>
      <w:color w:val="000000"/>
      <w:position w:val="0"/>
      <w:sz w:val="20"/>
      <w:sz w:val="20"/>
      <w:szCs w:val="20"/>
      <w:vertAlign w:val="baseline"/>
    </w:rPr>
  </w:style>
  <w:style w:type="character" w:styleId="ListLabel475">
    <w:name w:val="ListLabel 475"/>
    <w:qFormat/>
    <w:rPr>
      <w:rFonts w:cs="Courier New"/>
    </w:rPr>
  </w:style>
  <w:style w:type="character" w:styleId="ListLabel476">
    <w:name w:val="ListLabel 476"/>
    <w:qFormat/>
    <w:rPr>
      <w:rFonts w:cs="Wingdings"/>
    </w:rPr>
  </w:style>
  <w:style w:type="character" w:styleId="ListLabel477">
    <w:name w:val="ListLabel 477"/>
    <w:qFormat/>
    <w:rPr>
      <w:rFonts w:cs="Symbol"/>
    </w:rPr>
  </w:style>
  <w:style w:type="character" w:styleId="ListLabel478">
    <w:name w:val="ListLabel 478"/>
    <w:qFormat/>
    <w:rPr>
      <w:rFonts w:cs="Courier New"/>
    </w:rPr>
  </w:style>
  <w:style w:type="character" w:styleId="ListLabel479">
    <w:name w:val="ListLabel 479"/>
    <w:qFormat/>
    <w:rPr>
      <w:rFonts w:cs="Wingdings"/>
    </w:rPr>
  </w:style>
  <w:style w:type="character" w:styleId="ListLabel480">
    <w:name w:val="ListLabel 480"/>
    <w:qFormat/>
    <w:rPr>
      <w:rFonts w:cs="Symbol"/>
    </w:rPr>
  </w:style>
  <w:style w:type="character" w:styleId="ListLabel481">
    <w:name w:val="ListLabel 481"/>
    <w:qFormat/>
    <w:rPr>
      <w:rFonts w:cs="Courier New"/>
    </w:rPr>
  </w:style>
  <w:style w:type="character" w:styleId="ListLabel482">
    <w:name w:val="ListLabel 482"/>
    <w:qFormat/>
    <w:rPr>
      <w:rFonts w:cs="Wingdings"/>
    </w:rPr>
  </w:style>
  <w:style w:type="character" w:styleId="ListLabel483">
    <w:name w:val="ListLabel 483"/>
    <w:qFormat/>
    <w:rPr>
      <w:sz w:val="20"/>
      <w:szCs w:val="20"/>
      <w:lang w:val="en-US"/>
    </w:rPr>
  </w:style>
  <w:style w:type="character" w:styleId="ListLabel484">
    <w:name w:val="ListLabel 484"/>
    <w:qFormat/>
    <w:rPr>
      <w:rFonts w:eastAsia="Arial" w:cs="Times New Roman"/>
      <w:b/>
      <w:bCs/>
      <w:i w:val="false"/>
      <w:iCs w:val="false"/>
      <w:strike w:val="false"/>
      <w:dstrike w:val="false"/>
      <w:color w:val="000000"/>
      <w:position w:val="0"/>
      <w:sz w:val="20"/>
      <w:sz w:val="20"/>
      <w:szCs w:val="20"/>
      <w:vertAlign w:val="baseline"/>
    </w:rPr>
  </w:style>
  <w:style w:type="character" w:styleId="ListLabel485">
    <w:name w:val="ListLabel 485"/>
    <w:qFormat/>
    <w:rPr>
      <w:rFonts w:cs="Courier New"/>
    </w:rPr>
  </w:style>
  <w:style w:type="character" w:styleId="ListLabel486">
    <w:name w:val="ListLabel 486"/>
    <w:qFormat/>
    <w:rPr>
      <w:rFonts w:cs="Wingdings"/>
    </w:rPr>
  </w:style>
  <w:style w:type="character" w:styleId="ListLabel487">
    <w:name w:val="ListLabel 487"/>
    <w:qFormat/>
    <w:rPr>
      <w:rFonts w:cs="Symbol"/>
    </w:rPr>
  </w:style>
  <w:style w:type="character" w:styleId="ListLabel488">
    <w:name w:val="ListLabel 488"/>
    <w:qFormat/>
    <w:rPr>
      <w:rFonts w:cs="Courier New"/>
    </w:rPr>
  </w:style>
  <w:style w:type="character" w:styleId="ListLabel489">
    <w:name w:val="ListLabel 489"/>
    <w:qFormat/>
    <w:rPr>
      <w:rFonts w:cs="Wingdings"/>
    </w:rPr>
  </w:style>
  <w:style w:type="character" w:styleId="ListLabel490">
    <w:name w:val="ListLabel 490"/>
    <w:qFormat/>
    <w:rPr>
      <w:rFonts w:cs="Symbol"/>
    </w:rPr>
  </w:style>
  <w:style w:type="character" w:styleId="ListLabel491">
    <w:name w:val="ListLabel 491"/>
    <w:qFormat/>
    <w:rPr>
      <w:rFonts w:cs="Courier New"/>
    </w:rPr>
  </w:style>
  <w:style w:type="character" w:styleId="ListLabel492">
    <w:name w:val="ListLabel 492"/>
    <w:qFormat/>
    <w:rPr>
      <w:rFonts w:cs="Wingdings"/>
    </w:rPr>
  </w:style>
  <w:style w:type="character" w:styleId="ListLabel493">
    <w:name w:val="ListLabel 493"/>
    <w:qFormat/>
    <w:rPr>
      <w:sz w:val="20"/>
      <w:szCs w:val="20"/>
      <w:lang w:val="en-US"/>
    </w:rPr>
  </w:style>
  <w:style w:type="character" w:styleId="ListLabel494">
    <w:name w:val="ListLabel 494"/>
    <w:qFormat/>
    <w:rPr>
      <w:rFonts w:eastAsia="Arial" w:cs="Times New Roman"/>
      <w:b/>
      <w:bCs/>
      <w:i w:val="false"/>
      <w:iCs w:val="false"/>
      <w:strike w:val="false"/>
      <w:dstrike w:val="false"/>
      <w:color w:val="000000"/>
      <w:position w:val="0"/>
      <w:sz w:val="20"/>
      <w:sz w:val="20"/>
      <w:szCs w:val="20"/>
      <w:vertAlign w:val="baseline"/>
    </w:rPr>
  </w:style>
  <w:style w:type="character" w:styleId="ListLabel495">
    <w:name w:val="ListLabel 495"/>
    <w:qFormat/>
    <w:rPr>
      <w:rFonts w:cs="Courier New"/>
    </w:rPr>
  </w:style>
  <w:style w:type="character" w:styleId="ListLabel496">
    <w:name w:val="ListLabel 496"/>
    <w:qFormat/>
    <w:rPr>
      <w:rFonts w:cs="Wingdings"/>
    </w:rPr>
  </w:style>
  <w:style w:type="character" w:styleId="ListLabel497">
    <w:name w:val="ListLabel 497"/>
    <w:qFormat/>
    <w:rPr>
      <w:rFonts w:cs="Symbol"/>
    </w:rPr>
  </w:style>
  <w:style w:type="character" w:styleId="ListLabel498">
    <w:name w:val="ListLabel 498"/>
    <w:qFormat/>
    <w:rPr>
      <w:rFonts w:cs="Courier New"/>
    </w:rPr>
  </w:style>
  <w:style w:type="character" w:styleId="ListLabel499">
    <w:name w:val="ListLabel 499"/>
    <w:qFormat/>
    <w:rPr>
      <w:rFonts w:cs="Wingdings"/>
    </w:rPr>
  </w:style>
  <w:style w:type="character" w:styleId="ListLabel500">
    <w:name w:val="ListLabel 500"/>
    <w:qFormat/>
    <w:rPr>
      <w:rFonts w:cs="Symbol"/>
    </w:rPr>
  </w:style>
  <w:style w:type="character" w:styleId="ListLabel501">
    <w:name w:val="ListLabel 501"/>
    <w:qFormat/>
    <w:rPr>
      <w:rFonts w:cs="Courier New"/>
    </w:rPr>
  </w:style>
  <w:style w:type="character" w:styleId="ListLabel502">
    <w:name w:val="ListLabel 502"/>
    <w:qFormat/>
    <w:rPr>
      <w:rFonts w:cs="Wingdings"/>
    </w:rPr>
  </w:style>
  <w:style w:type="character" w:styleId="ListLabel503">
    <w:name w:val="ListLabel 503"/>
    <w:qFormat/>
    <w:rPr>
      <w:sz w:val="20"/>
      <w:szCs w:val="20"/>
      <w:lang w:val="en-US"/>
    </w:rPr>
  </w:style>
  <w:style w:type="character" w:styleId="ListLabel504">
    <w:name w:val="ListLabel 504"/>
    <w:qFormat/>
    <w:rPr>
      <w:rFonts w:eastAsia="Arial" w:cs="Times New Roman"/>
      <w:b/>
      <w:bCs/>
      <w:i w:val="false"/>
      <w:iCs w:val="false"/>
      <w:strike w:val="false"/>
      <w:dstrike w:val="false"/>
      <w:color w:val="000000"/>
      <w:position w:val="0"/>
      <w:sz w:val="20"/>
      <w:sz w:val="20"/>
      <w:szCs w:val="20"/>
      <w:vertAlign w:val="baseline"/>
    </w:rPr>
  </w:style>
  <w:style w:type="character" w:styleId="ListLabel505">
    <w:name w:val="ListLabel 505"/>
    <w:qFormat/>
    <w:rPr>
      <w:rFonts w:cs="Courier New"/>
    </w:rPr>
  </w:style>
  <w:style w:type="character" w:styleId="ListLabel506">
    <w:name w:val="ListLabel 506"/>
    <w:qFormat/>
    <w:rPr>
      <w:rFonts w:cs="Wingdings"/>
    </w:rPr>
  </w:style>
  <w:style w:type="character" w:styleId="ListLabel507">
    <w:name w:val="ListLabel 507"/>
    <w:qFormat/>
    <w:rPr>
      <w:rFonts w:cs="Symbol"/>
    </w:rPr>
  </w:style>
  <w:style w:type="character" w:styleId="ListLabel508">
    <w:name w:val="ListLabel 508"/>
    <w:qFormat/>
    <w:rPr>
      <w:rFonts w:cs="Courier New"/>
    </w:rPr>
  </w:style>
  <w:style w:type="character" w:styleId="ListLabel509">
    <w:name w:val="ListLabel 509"/>
    <w:qFormat/>
    <w:rPr>
      <w:rFonts w:cs="Wingdings"/>
    </w:rPr>
  </w:style>
  <w:style w:type="character" w:styleId="ListLabel510">
    <w:name w:val="ListLabel 510"/>
    <w:qFormat/>
    <w:rPr>
      <w:rFonts w:cs="Symbol"/>
    </w:rPr>
  </w:style>
  <w:style w:type="character" w:styleId="ListLabel511">
    <w:name w:val="ListLabel 511"/>
    <w:qFormat/>
    <w:rPr>
      <w:rFonts w:cs="Courier New"/>
    </w:rPr>
  </w:style>
  <w:style w:type="character" w:styleId="ListLabel512">
    <w:name w:val="ListLabel 512"/>
    <w:qFormat/>
    <w:rPr>
      <w:rFonts w:cs="Wingdings"/>
    </w:rPr>
  </w:style>
  <w:style w:type="character" w:styleId="ListLabel513">
    <w:name w:val="ListLabel 513"/>
    <w:qFormat/>
    <w:rPr>
      <w:sz w:val="20"/>
      <w:szCs w:val="20"/>
      <w:lang w:val="en-US"/>
    </w:rPr>
  </w:style>
  <w:style w:type="character" w:styleId="ListLabel514">
    <w:name w:val="ListLabel 514"/>
    <w:qFormat/>
    <w:rPr>
      <w:rFonts w:eastAsia="Arial" w:cs="Times New Roman"/>
      <w:b/>
      <w:bCs/>
      <w:i w:val="false"/>
      <w:iCs w:val="false"/>
      <w:strike w:val="false"/>
      <w:dstrike w:val="false"/>
      <w:color w:val="000000"/>
      <w:position w:val="0"/>
      <w:sz w:val="20"/>
      <w:sz w:val="20"/>
      <w:szCs w:val="20"/>
      <w:vertAlign w:val="baseline"/>
    </w:rPr>
  </w:style>
  <w:style w:type="character" w:styleId="ListLabel515">
    <w:name w:val="ListLabel 515"/>
    <w:qFormat/>
    <w:rPr>
      <w:rFonts w:cs="Courier New"/>
    </w:rPr>
  </w:style>
  <w:style w:type="character" w:styleId="ListLabel516">
    <w:name w:val="ListLabel 516"/>
    <w:qFormat/>
    <w:rPr>
      <w:rFonts w:cs="Wingdings"/>
    </w:rPr>
  </w:style>
  <w:style w:type="character" w:styleId="ListLabel517">
    <w:name w:val="ListLabel 517"/>
    <w:qFormat/>
    <w:rPr>
      <w:rFonts w:cs="Symbol"/>
    </w:rPr>
  </w:style>
  <w:style w:type="character" w:styleId="ListLabel518">
    <w:name w:val="ListLabel 518"/>
    <w:qFormat/>
    <w:rPr>
      <w:rFonts w:cs="Courier New"/>
    </w:rPr>
  </w:style>
  <w:style w:type="character" w:styleId="ListLabel519">
    <w:name w:val="ListLabel 519"/>
    <w:qFormat/>
    <w:rPr>
      <w:rFonts w:cs="Wingdings"/>
    </w:rPr>
  </w:style>
  <w:style w:type="character" w:styleId="ListLabel520">
    <w:name w:val="ListLabel 520"/>
    <w:qFormat/>
    <w:rPr>
      <w:rFonts w:cs="Symbol"/>
    </w:rPr>
  </w:style>
  <w:style w:type="character" w:styleId="ListLabel521">
    <w:name w:val="ListLabel 521"/>
    <w:qFormat/>
    <w:rPr>
      <w:rFonts w:cs="Courier New"/>
    </w:rPr>
  </w:style>
  <w:style w:type="character" w:styleId="ListLabel522">
    <w:name w:val="ListLabel 522"/>
    <w:qFormat/>
    <w:rPr>
      <w:rFonts w:cs="Wingdings"/>
    </w:rPr>
  </w:style>
  <w:style w:type="character" w:styleId="ListLabel523">
    <w:name w:val="ListLabel 523"/>
    <w:qFormat/>
    <w:rPr>
      <w:sz w:val="20"/>
      <w:szCs w:val="20"/>
      <w:lang w:val="en-US"/>
    </w:rPr>
  </w:style>
  <w:style w:type="character" w:styleId="ListLabel524">
    <w:name w:val="ListLabel 524"/>
    <w:qFormat/>
    <w:rPr>
      <w:rFonts w:eastAsia="Arial" w:cs="Times New Roman"/>
      <w:b/>
      <w:bCs/>
      <w:i w:val="false"/>
      <w:iCs w:val="false"/>
      <w:strike w:val="false"/>
      <w:dstrike w:val="false"/>
      <w:color w:val="000000"/>
      <w:position w:val="0"/>
      <w:sz w:val="20"/>
      <w:sz w:val="20"/>
      <w:szCs w:val="20"/>
      <w:vertAlign w:val="baseline"/>
    </w:rPr>
  </w:style>
  <w:style w:type="character" w:styleId="ListLabel525">
    <w:name w:val="ListLabel 525"/>
    <w:qFormat/>
    <w:rPr>
      <w:rFonts w:cs="Courier New"/>
    </w:rPr>
  </w:style>
  <w:style w:type="character" w:styleId="ListLabel526">
    <w:name w:val="ListLabel 526"/>
    <w:qFormat/>
    <w:rPr>
      <w:rFonts w:cs="Wingdings"/>
    </w:rPr>
  </w:style>
  <w:style w:type="character" w:styleId="ListLabel527">
    <w:name w:val="ListLabel 527"/>
    <w:qFormat/>
    <w:rPr>
      <w:rFonts w:cs="Symbol"/>
    </w:rPr>
  </w:style>
  <w:style w:type="character" w:styleId="ListLabel528">
    <w:name w:val="ListLabel 528"/>
    <w:qFormat/>
    <w:rPr>
      <w:rFonts w:cs="Courier New"/>
    </w:rPr>
  </w:style>
  <w:style w:type="character" w:styleId="ListLabel529">
    <w:name w:val="ListLabel 529"/>
    <w:qFormat/>
    <w:rPr>
      <w:rFonts w:cs="Wingdings"/>
    </w:rPr>
  </w:style>
  <w:style w:type="character" w:styleId="ListLabel530">
    <w:name w:val="ListLabel 530"/>
    <w:qFormat/>
    <w:rPr>
      <w:rFonts w:cs="Symbol"/>
    </w:rPr>
  </w:style>
  <w:style w:type="character" w:styleId="ListLabel531">
    <w:name w:val="ListLabel 531"/>
    <w:qFormat/>
    <w:rPr>
      <w:rFonts w:cs="Courier New"/>
    </w:rPr>
  </w:style>
  <w:style w:type="character" w:styleId="ListLabel532">
    <w:name w:val="ListLabel 532"/>
    <w:qFormat/>
    <w:rPr>
      <w:rFonts w:cs="Wingdings"/>
    </w:rPr>
  </w:style>
  <w:style w:type="character" w:styleId="ListLabel533">
    <w:name w:val="ListLabel 533"/>
    <w:qFormat/>
    <w:rPr>
      <w:sz w:val="20"/>
      <w:szCs w:val="20"/>
      <w:lang w:val="en-US"/>
    </w:rPr>
  </w:style>
  <w:style w:type="character" w:styleId="ListLabel534">
    <w:name w:val="ListLabel 534"/>
    <w:qFormat/>
    <w:rPr>
      <w:rFonts w:eastAsia="Arial" w:cs="Times New Roman"/>
      <w:b/>
      <w:bCs/>
      <w:i w:val="false"/>
      <w:iCs w:val="false"/>
      <w:strike w:val="false"/>
      <w:dstrike w:val="false"/>
      <w:color w:val="000000"/>
      <w:position w:val="0"/>
      <w:sz w:val="20"/>
      <w:sz w:val="20"/>
      <w:szCs w:val="20"/>
      <w:vertAlign w:val="baseline"/>
    </w:rPr>
  </w:style>
  <w:style w:type="character" w:styleId="ListLabel535">
    <w:name w:val="ListLabel 535"/>
    <w:qFormat/>
    <w:rPr>
      <w:rFonts w:cs="Courier New"/>
    </w:rPr>
  </w:style>
  <w:style w:type="character" w:styleId="ListLabel536">
    <w:name w:val="ListLabel 536"/>
    <w:qFormat/>
    <w:rPr>
      <w:rFonts w:cs="Wingdings"/>
    </w:rPr>
  </w:style>
  <w:style w:type="character" w:styleId="ListLabel537">
    <w:name w:val="ListLabel 537"/>
    <w:qFormat/>
    <w:rPr>
      <w:rFonts w:cs="Symbol"/>
    </w:rPr>
  </w:style>
  <w:style w:type="character" w:styleId="ListLabel538">
    <w:name w:val="ListLabel 538"/>
    <w:qFormat/>
    <w:rPr>
      <w:rFonts w:cs="Courier New"/>
    </w:rPr>
  </w:style>
  <w:style w:type="character" w:styleId="ListLabel539">
    <w:name w:val="ListLabel 539"/>
    <w:qFormat/>
    <w:rPr>
      <w:rFonts w:cs="Wingdings"/>
    </w:rPr>
  </w:style>
  <w:style w:type="character" w:styleId="ListLabel540">
    <w:name w:val="ListLabel 540"/>
    <w:qFormat/>
    <w:rPr>
      <w:rFonts w:cs="Symbol"/>
    </w:rPr>
  </w:style>
  <w:style w:type="character" w:styleId="ListLabel541">
    <w:name w:val="ListLabel 541"/>
    <w:qFormat/>
    <w:rPr>
      <w:rFonts w:cs="Courier New"/>
    </w:rPr>
  </w:style>
  <w:style w:type="character" w:styleId="ListLabel542">
    <w:name w:val="ListLabel 542"/>
    <w:qFormat/>
    <w:rPr>
      <w:rFonts w:cs="Wingdings"/>
    </w:rPr>
  </w:style>
  <w:style w:type="character" w:styleId="ListLabel543">
    <w:name w:val="ListLabel 543"/>
    <w:qFormat/>
    <w:rPr>
      <w:sz w:val="20"/>
      <w:szCs w:val="20"/>
      <w:lang w:val="en-US"/>
    </w:rPr>
  </w:style>
  <w:style w:type="character" w:styleId="ListLabel544">
    <w:name w:val="ListLabel 544"/>
    <w:qFormat/>
    <w:rPr>
      <w:rFonts w:eastAsia="Arial" w:cs="Times New Roman"/>
      <w:b/>
      <w:bCs/>
      <w:i w:val="false"/>
      <w:iCs w:val="false"/>
      <w:strike w:val="false"/>
      <w:dstrike w:val="false"/>
      <w:color w:val="000000"/>
      <w:position w:val="0"/>
      <w:sz w:val="20"/>
      <w:sz w:val="20"/>
      <w:szCs w:val="20"/>
      <w:vertAlign w:val="baseline"/>
    </w:rPr>
  </w:style>
  <w:style w:type="character" w:styleId="ListLabel545">
    <w:name w:val="ListLabel 545"/>
    <w:qFormat/>
    <w:rPr>
      <w:rFonts w:cs="Courier New"/>
    </w:rPr>
  </w:style>
  <w:style w:type="character" w:styleId="ListLabel546">
    <w:name w:val="ListLabel 546"/>
    <w:qFormat/>
    <w:rPr>
      <w:rFonts w:cs="Wingdings"/>
    </w:rPr>
  </w:style>
  <w:style w:type="character" w:styleId="ListLabel547">
    <w:name w:val="ListLabel 547"/>
    <w:qFormat/>
    <w:rPr>
      <w:rFonts w:cs="Symbol"/>
    </w:rPr>
  </w:style>
  <w:style w:type="character" w:styleId="ListLabel548">
    <w:name w:val="ListLabel 548"/>
    <w:qFormat/>
    <w:rPr>
      <w:rFonts w:cs="Courier New"/>
    </w:rPr>
  </w:style>
  <w:style w:type="character" w:styleId="ListLabel549">
    <w:name w:val="ListLabel 549"/>
    <w:qFormat/>
    <w:rPr>
      <w:rFonts w:cs="Wingdings"/>
    </w:rPr>
  </w:style>
  <w:style w:type="character" w:styleId="ListLabel550">
    <w:name w:val="ListLabel 550"/>
    <w:qFormat/>
    <w:rPr>
      <w:rFonts w:cs="Symbol"/>
    </w:rPr>
  </w:style>
  <w:style w:type="character" w:styleId="ListLabel551">
    <w:name w:val="ListLabel 551"/>
    <w:qFormat/>
    <w:rPr>
      <w:rFonts w:cs="Courier New"/>
    </w:rPr>
  </w:style>
  <w:style w:type="character" w:styleId="ListLabel552">
    <w:name w:val="ListLabel 552"/>
    <w:qFormat/>
    <w:rPr>
      <w:rFonts w:cs="Wingdings"/>
    </w:rPr>
  </w:style>
  <w:style w:type="character" w:styleId="ListLabel553">
    <w:name w:val="ListLabel 553"/>
    <w:qFormat/>
    <w:rPr>
      <w:sz w:val="20"/>
      <w:szCs w:val="20"/>
      <w:lang w:val="en-US"/>
    </w:rPr>
  </w:style>
  <w:style w:type="character" w:styleId="ListLabel554">
    <w:name w:val="ListLabel 554"/>
    <w:qFormat/>
    <w:rPr>
      <w:rFonts w:eastAsia="Arial" w:cs="Times New Roman"/>
      <w:b/>
      <w:bCs/>
      <w:i w:val="false"/>
      <w:iCs w:val="false"/>
      <w:strike w:val="false"/>
      <w:dstrike w:val="false"/>
      <w:color w:val="000000"/>
      <w:position w:val="0"/>
      <w:sz w:val="20"/>
      <w:sz w:val="20"/>
      <w:szCs w:val="20"/>
      <w:vertAlign w:val="baseline"/>
    </w:rPr>
  </w:style>
  <w:style w:type="character" w:styleId="ListLabel555">
    <w:name w:val="ListLabel 555"/>
    <w:qFormat/>
    <w:rPr>
      <w:rFonts w:cs="Courier New"/>
    </w:rPr>
  </w:style>
  <w:style w:type="character" w:styleId="ListLabel556">
    <w:name w:val="ListLabel 556"/>
    <w:qFormat/>
    <w:rPr>
      <w:rFonts w:cs="Wingdings"/>
    </w:rPr>
  </w:style>
  <w:style w:type="character" w:styleId="ListLabel557">
    <w:name w:val="ListLabel 557"/>
    <w:qFormat/>
    <w:rPr>
      <w:rFonts w:cs="Symbol"/>
    </w:rPr>
  </w:style>
  <w:style w:type="character" w:styleId="ListLabel558">
    <w:name w:val="ListLabel 558"/>
    <w:qFormat/>
    <w:rPr>
      <w:rFonts w:cs="Courier New"/>
    </w:rPr>
  </w:style>
  <w:style w:type="character" w:styleId="ListLabel559">
    <w:name w:val="ListLabel 559"/>
    <w:qFormat/>
    <w:rPr>
      <w:rFonts w:cs="Wingdings"/>
    </w:rPr>
  </w:style>
  <w:style w:type="character" w:styleId="ListLabel560">
    <w:name w:val="ListLabel 560"/>
    <w:qFormat/>
    <w:rPr>
      <w:rFonts w:cs="Symbol"/>
    </w:rPr>
  </w:style>
  <w:style w:type="character" w:styleId="ListLabel561">
    <w:name w:val="ListLabel 561"/>
    <w:qFormat/>
    <w:rPr>
      <w:rFonts w:cs="Courier New"/>
    </w:rPr>
  </w:style>
  <w:style w:type="character" w:styleId="ListLabel562">
    <w:name w:val="ListLabel 562"/>
    <w:qFormat/>
    <w:rPr>
      <w:rFonts w:cs="Wingdings"/>
    </w:rPr>
  </w:style>
  <w:style w:type="character" w:styleId="ListLabel563">
    <w:name w:val="ListLabel 563"/>
    <w:qFormat/>
    <w:rPr>
      <w:sz w:val="20"/>
      <w:szCs w:val="20"/>
      <w:lang w:val="en-US"/>
    </w:rPr>
  </w:style>
  <w:style w:type="character" w:styleId="ListLabel564">
    <w:name w:val="ListLabel 564"/>
    <w:qFormat/>
    <w:rPr>
      <w:rFonts w:eastAsia="Arial" w:cs="Times New Roman"/>
      <w:b/>
      <w:bCs/>
      <w:i w:val="false"/>
      <w:iCs w:val="false"/>
      <w:strike w:val="false"/>
      <w:dstrike w:val="false"/>
      <w:color w:val="000000"/>
      <w:position w:val="0"/>
      <w:sz w:val="20"/>
      <w:sz w:val="20"/>
      <w:szCs w:val="20"/>
      <w:vertAlign w:val="baseline"/>
    </w:rPr>
  </w:style>
  <w:style w:type="character" w:styleId="ListLabel565">
    <w:name w:val="ListLabel 565"/>
    <w:qFormat/>
    <w:rPr>
      <w:rFonts w:cs="Courier New"/>
    </w:rPr>
  </w:style>
  <w:style w:type="character" w:styleId="ListLabel566">
    <w:name w:val="ListLabel 566"/>
    <w:qFormat/>
    <w:rPr>
      <w:rFonts w:cs="Wingdings"/>
    </w:rPr>
  </w:style>
  <w:style w:type="character" w:styleId="ListLabel567">
    <w:name w:val="ListLabel 567"/>
    <w:qFormat/>
    <w:rPr>
      <w:rFonts w:cs="Symbol"/>
    </w:rPr>
  </w:style>
  <w:style w:type="character" w:styleId="ListLabel568">
    <w:name w:val="ListLabel 568"/>
    <w:qFormat/>
    <w:rPr>
      <w:rFonts w:cs="Courier New"/>
    </w:rPr>
  </w:style>
  <w:style w:type="character" w:styleId="ListLabel569">
    <w:name w:val="ListLabel 569"/>
    <w:qFormat/>
    <w:rPr>
      <w:rFonts w:cs="Wingdings"/>
    </w:rPr>
  </w:style>
  <w:style w:type="character" w:styleId="ListLabel570">
    <w:name w:val="ListLabel 570"/>
    <w:qFormat/>
    <w:rPr>
      <w:rFonts w:cs="Symbol"/>
    </w:rPr>
  </w:style>
  <w:style w:type="character" w:styleId="ListLabel571">
    <w:name w:val="ListLabel 571"/>
    <w:qFormat/>
    <w:rPr>
      <w:rFonts w:cs="Courier New"/>
    </w:rPr>
  </w:style>
  <w:style w:type="character" w:styleId="ListLabel572">
    <w:name w:val="ListLabel 572"/>
    <w:qFormat/>
    <w:rPr>
      <w:rFonts w:cs="Wingdings"/>
    </w:rPr>
  </w:style>
  <w:style w:type="character" w:styleId="ListLabel573">
    <w:name w:val="ListLabel 573"/>
    <w:qFormat/>
    <w:rPr>
      <w:sz w:val="20"/>
      <w:szCs w:val="20"/>
      <w:lang w:val="en-US"/>
    </w:rPr>
  </w:style>
  <w:style w:type="character" w:styleId="ListLabel574">
    <w:name w:val="ListLabel 574"/>
    <w:qFormat/>
    <w:rPr>
      <w:rFonts w:eastAsia="Arial" w:cs="Times New Roman"/>
      <w:b/>
      <w:bCs/>
      <w:i w:val="false"/>
      <w:iCs w:val="false"/>
      <w:strike w:val="false"/>
      <w:dstrike w:val="false"/>
      <w:color w:val="000000"/>
      <w:position w:val="0"/>
      <w:sz w:val="20"/>
      <w:sz w:val="20"/>
      <w:szCs w:val="20"/>
      <w:vertAlign w:val="baseline"/>
    </w:rPr>
  </w:style>
  <w:style w:type="character" w:styleId="ListLabel575">
    <w:name w:val="ListLabel 575"/>
    <w:qFormat/>
    <w:rPr>
      <w:rFonts w:cs="Courier New"/>
    </w:rPr>
  </w:style>
  <w:style w:type="character" w:styleId="ListLabel576">
    <w:name w:val="ListLabel 576"/>
    <w:qFormat/>
    <w:rPr>
      <w:rFonts w:cs="Wingdings"/>
    </w:rPr>
  </w:style>
  <w:style w:type="character" w:styleId="ListLabel577">
    <w:name w:val="ListLabel 577"/>
    <w:qFormat/>
    <w:rPr>
      <w:rFonts w:cs="Symbol"/>
    </w:rPr>
  </w:style>
  <w:style w:type="character" w:styleId="ListLabel578">
    <w:name w:val="ListLabel 578"/>
    <w:qFormat/>
    <w:rPr>
      <w:rFonts w:cs="Courier New"/>
    </w:rPr>
  </w:style>
  <w:style w:type="character" w:styleId="ListLabel579">
    <w:name w:val="ListLabel 579"/>
    <w:qFormat/>
    <w:rPr>
      <w:rFonts w:cs="Wingdings"/>
    </w:rPr>
  </w:style>
  <w:style w:type="character" w:styleId="ListLabel580">
    <w:name w:val="ListLabel 580"/>
    <w:qFormat/>
    <w:rPr>
      <w:rFonts w:cs="Symbol"/>
    </w:rPr>
  </w:style>
  <w:style w:type="character" w:styleId="ListLabel581">
    <w:name w:val="ListLabel 581"/>
    <w:qFormat/>
    <w:rPr>
      <w:rFonts w:cs="Courier New"/>
    </w:rPr>
  </w:style>
  <w:style w:type="character" w:styleId="ListLabel582">
    <w:name w:val="ListLabel 582"/>
    <w:qFormat/>
    <w:rPr>
      <w:rFonts w:cs="Wingdings"/>
    </w:rPr>
  </w:style>
  <w:style w:type="character" w:styleId="ListLabel583">
    <w:name w:val="ListLabel 583"/>
    <w:qFormat/>
    <w:rPr>
      <w:sz w:val="20"/>
      <w:szCs w:val="20"/>
      <w:lang w:val="en-US"/>
    </w:rPr>
  </w:style>
  <w:style w:type="character" w:styleId="ListLabel584">
    <w:name w:val="ListLabel 584"/>
    <w:qFormat/>
    <w:rPr>
      <w:rFonts w:eastAsia="Arial" w:cs="Times New Roman"/>
      <w:b/>
      <w:bCs/>
      <w:i w:val="false"/>
      <w:iCs w:val="false"/>
      <w:strike w:val="false"/>
      <w:dstrike w:val="false"/>
      <w:color w:val="000000"/>
      <w:position w:val="0"/>
      <w:sz w:val="20"/>
      <w:sz w:val="20"/>
      <w:szCs w:val="20"/>
      <w:vertAlign w:val="baseline"/>
    </w:rPr>
  </w:style>
  <w:style w:type="character" w:styleId="ListLabel585">
    <w:name w:val="ListLabel 585"/>
    <w:qFormat/>
    <w:rPr>
      <w:rFonts w:cs="Courier New"/>
    </w:rPr>
  </w:style>
  <w:style w:type="character" w:styleId="ListLabel586">
    <w:name w:val="ListLabel 586"/>
    <w:qFormat/>
    <w:rPr>
      <w:rFonts w:cs="Wingdings"/>
    </w:rPr>
  </w:style>
  <w:style w:type="character" w:styleId="ListLabel587">
    <w:name w:val="ListLabel 587"/>
    <w:qFormat/>
    <w:rPr>
      <w:rFonts w:cs="Symbol"/>
    </w:rPr>
  </w:style>
  <w:style w:type="character" w:styleId="ListLabel588">
    <w:name w:val="ListLabel 588"/>
    <w:qFormat/>
    <w:rPr>
      <w:rFonts w:cs="Courier New"/>
    </w:rPr>
  </w:style>
  <w:style w:type="character" w:styleId="ListLabel589">
    <w:name w:val="ListLabel 589"/>
    <w:qFormat/>
    <w:rPr>
      <w:rFonts w:cs="Wingdings"/>
    </w:rPr>
  </w:style>
  <w:style w:type="character" w:styleId="ListLabel590">
    <w:name w:val="ListLabel 590"/>
    <w:qFormat/>
    <w:rPr>
      <w:rFonts w:cs="Symbol"/>
    </w:rPr>
  </w:style>
  <w:style w:type="character" w:styleId="ListLabel591">
    <w:name w:val="ListLabel 591"/>
    <w:qFormat/>
    <w:rPr>
      <w:rFonts w:cs="Courier New"/>
    </w:rPr>
  </w:style>
  <w:style w:type="character" w:styleId="ListLabel592">
    <w:name w:val="ListLabel 592"/>
    <w:qFormat/>
    <w:rPr>
      <w:rFonts w:cs="Wingdings"/>
    </w:rPr>
  </w:style>
  <w:style w:type="character" w:styleId="ListLabel593">
    <w:name w:val="ListLabel 593"/>
    <w:qFormat/>
    <w:rPr>
      <w:sz w:val="20"/>
      <w:szCs w:val="20"/>
      <w:lang w:val="en-US"/>
    </w:rPr>
  </w:style>
  <w:style w:type="character" w:styleId="ListLabel594">
    <w:name w:val="ListLabel 594"/>
    <w:qFormat/>
    <w:rPr>
      <w:rFonts w:eastAsia="Arial" w:cs="Times New Roman"/>
      <w:b/>
      <w:bCs/>
      <w:i w:val="false"/>
      <w:iCs w:val="false"/>
      <w:strike w:val="false"/>
      <w:dstrike w:val="false"/>
      <w:color w:val="000000"/>
      <w:position w:val="0"/>
      <w:sz w:val="20"/>
      <w:sz w:val="20"/>
      <w:szCs w:val="20"/>
      <w:vertAlign w:val="baseline"/>
    </w:rPr>
  </w:style>
  <w:style w:type="character" w:styleId="ListLabel595">
    <w:name w:val="ListLabel 595"/>
    <w:qFormat/>
    <w:rPr>
      <w:rFonts w:cs="Courier New"/>
    </w:rPr>
  </w:style>
  <w:style w:type="character" w:styleId="ListLabel596">
    <w:name w:val="ListLabel 596"/>
    <w:qFormat/>
    <w:rPr>
      <w:rFonts w:cs="Wingdings"/>
    </w:rPr>
  </w:style>
  <w:style w:type="character" w:styleId="ListLabel597">
    <w:name w:val="ListLabel 597"/>
    <w:qFormat/>
    <w:rPr>
      <w:rFonts w:cs="Symbol"/>
    </w:rPr>
  </w:style>
  <w:style w:type="character" w:styleId="ListLabel598">
    <w:name w:val="ListLabel 598"/>
    <w:qFormat/>
    <w:rPr>
      <w:rFonts w:cs="Courier New"/>
    </w:rPr>
  </w:style>
  <w:style w:type="character" w:styleId="ListLabel599">
    <w:name w:val="ListLabel 599"/>
    <w:qFormat/>
    <w:rPr>
      <w:rFonts w:cs="Wingdings"/>
    </w:rPr>
  </w:style>
  <w:style w:type="character" w:styleId="ListLabel600">
    <w:name w:val="ListLabel 600"/>
    <w:qFormat/>
    <w:rPr>
      <w:rFonts w:cs="Symbol"/>
    </w:rPr>
  </w:style>
  <w:style w:type="character" w:styleId="ListLabel601">
    <w:name w:val="ListLabel 601"/>
    <w:qFormat/>
    <w:rPr>
      <w:rFonts w:cs="Courier New"/>
    </w:rPr>
  </w:style>
  <w:style w:type="character" w:styleId="ListLabel602">
    <w:name w:val="ListLabel 602"/>
    <w:qFormat/>
    <w:rPr>
      <w:rFonts w:cs="Wingdings"/>
    </w:rPr>
  </w:style>
  <w:style w:type="character" w:styleId="ListLabel603">
    <w:name w:val="ListLabel 603"/>
    <w:qFormat/>
    <w:rPr>
      <w:sz w:val="20"/>
      <w:szCs w:val="20"/>
      <w:lang w:val="en-US"/>
    </w:rPr>
  </w:style>
  <w:style w:type="paragraph" w:styleId="Style18">
    <w:name w:val="Заголовок"/>
    <w:basedOn w:val="Normal"/>
    <w:next w:val="Style19"/>
    <w:link w:val="673"/>
    <w:qFormat/>
    <w:pPr>
      <w:keepNext w:val="true"/>
      <w:spacing w:before="240" w:after="120"/>
    </w:pPr>
    <w:rPr>
      <w:rFonts w:ascii="Arial" w:hAnsi="Arial" w:eastAsia="Lucida Sans Unicode" w:cs="Mangal"/>
      <w:sz w:val="28"/>
      <w:szCs w:val="28"/>
    </w:rPr>
  </w:style>
  <w:style w:type="paragraph" w:styleId="Style19">
    <w:name w:val="Body Text"/>
    <w:basedOn w:val="Normal"/>
    <w:link w:val="673"/>
    <w:pPr>
      <w:spacing w:before="0" w:after="120"/>
    </w:pPr>
    <w:rPr/>
  </w:style>
  <w:style w:type="paragraph" w:styleId="Style20">
    <w:name w:val="List"/>
    <w:basedOn w:val="Style19"/>
    <w:link w:val="673"/>
    <w:pPr/>
    <w:rPr>
      <w:rFonts w:ascii="Arial" w:hAnsi="Arial" w:cs="Mangal"/>
    </w:rPr>
  </w:style>
  <w:style w:type="paragraph" w:styleId="Style21">
    <w:name w:val="Caption"/>
    <w:basedOn w:val="Normal"/>
    <w:link w:val="673"/>
    <w:qFormat/>
    <w:pPr>
      <w:suppressLineNumbers/>
      <w:spacing w:before="120" w:after="120"/>
    </w:pPr>
    <w:rPr>
      <w:rFonts w:cs="Arial"/>
      <w:i/>
      <w:iCs/>
      <w:sz w:val="24"/>
      <w:szCs w:val="24"/>
    </w:rPr>
  </w:style>
  <w:style w:type="paragraph" w:styleId="Style22">
    <w:name w:val="Указатель"/>
    <w:basedOn w:val="Normal"/>
    <w:link w:val="673"/>
    <w:qFormat/>
    <w:pPr>
      <w:suppressLineNumbers/>
    </w:pPr>
    <w:rPr>
      <w:rFonts w:cs="Arial"/>
    </w:rPr>
  </w:style>
  <w:style w:type="paragraph" w:styleId="NoSpacing">
    <w:name w:val="No Spacing"/>
    <w:uiPriority w:val="1"/>
    <w:qFormat/>
    <w:pPr>
      <w:widowControl/>
      <w:overflowPunct w:val="true"/>
      <w:bidi w:val="0"/>
      <w:spacing w:lineRule="auto" w:line="240" w:before="0" w:after="0"/>
      <w:jc w:val="left"/>
    </w:pPr>
    <w:rPr>
      <w:rFonts w:ascii="Liberation Serif" w:hAnsi="Liberation Serif" w:eastAsia="NSimSun" w:cs="Arial"/>
      <w:color w:val="auto"/>
      <w:kern w:val="2"/>
      <w:sz w:val="24"/>
      <w:szCs w:val="24"/>
      <w:lang w:val="ru-RU" w:eastAsia="zh-CN" w:bidi="hi-IN"/>
    </w:rPr>
  </w:style>
  <w:style w:type="paragraph" w:styleId="Style23">
    <w:name w:val="Title"/>
    <w:basedOn w:val="Normal"/>
    <w:link w:val="35"/>
    <w:uiPriority w:val="10"/>
    <w:qFormat/>
    <w:pPr>
      <w:spacing w:before="300" w:after="200"/>
      <w:contextualSpacing/>
    </w:pPr>
    <w:rPr>
      <w:sz w:val="48"/>
      <w:szCs w:val="48"/>
    </w:rPr>
  </w:style>
  <w:style w:type="paragraph" w:styleId="Style24">
    <w:name w:val="Subtitle"/>
    <w:basedOn w:val="Normal"/>
    <w:link w:val="37"/>
    <w:uiPriority w:val="11"/>
    <w:qFormat/>
    <w:pPr>
      <w:spacing w:before="200" w:after="200"/>
    </w:pPr>
    <w:rPr>
      <w:sz w:val="24"/>
      <w:szCs w:val="24"/>
    </w:rPr>
  </w:style>
  <w:style w:type="paragraph" w:styleId="Quote">
    <w:name w:val="Quote"/>
    <w:basedOn w:val="Normal"/>
    <w:link w:val="39"/>
    <w:uiPriority w:val="29"/>
    <w:qFormat/>
    <w:pPr>
      <w:ind w:left="720" w:right="720" w:hanging="0"/>
    </w:pPr>
    <w:rPr>
      <w:i/>
    </w:rPr>
  </w:style>
  <w:style w:type="paragraph" w:styleId="IntenseQuote">
    <w:name w:val="Intense Quote"/>
    <w:basedOn w:val="Normal"/>
    <w:link w:val="41"/>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25">
    <w:name w:val="Header"/>
    <w:basedOn w:val="Normal"/>
    <w:link w:val="673"/>
    <w:pPr>
      <w:tabs>
        <w:tab w:val="clear" w:pos="265"/>
        <w:tab w:val="center" w:pos="4677" w:leader="none"/>
        <w:tab w:val="right" w:pos="9355" w:leader="none"/>
      </w:tabs>
    </w:pPr>
    <w:rPr/>
  </w:style>
  <w:style w:type="paragraph" w:styleId="Style26">
    <w:name w:val="Footer"/>
    <w:basedOn w:val="Normal"/>
    <w:link w:val="673"/>
    <w:pPr>
      <w:tabs>
        <w:tab w:val="clear" w:pos="265"/>
        <w:tab w:val="center" w:pos="4677" w:leader="none"/>
        <w:tab w:val="right" w:pos="9355" w:leader="none"/>
      </w:tabs>
    </w:pPr>
    <w:rPr/>
  </w:style>
  <w:style w:type="paragraph" w:styleId="Style27">
    <w:name w:val="Footnote Text"/>
    <w:basedOn w:val="Normal"/>
    <w:link w:val="673"/>
    <w:pPr>
      <w:suppressLineNumbers/>
      <w:ind w:left="339" w:right="0" w:hanging="339"/>
    </w:pPr>
    <w:rPr>
      <w:sz w:val="20"/>
      <w:szCs w:val="20"/>
    </w:rPr>
  </w:style>
  <w:style w:type="paragraph" w:styleId="Style28">
    <w:name w:val="Endnote Text"/>
    <w:basedOn w:val="Normal"/>
    <w:link w:val="179"/>
    <w:uiPriority w:val="99"/>
    <w:semiHidden/>
    <w:unhideWhenUsed/>
    <w:pPr>
      <w:spacing w:lineRule="auto" w:line="240" w:before="0" w:after="0"/>
    </w:pPr>
    <w:rPr>
      <w:sz w:val="20"/>
    </w:rPr>
  </w:style>
  <w:style w:type="paragraph" w:styleId="14">
    <w:name w:val="TOC 1"/>
    <w:basedOn w:val="Normal"/>
    <w:uiPriority w:val="39"/>
    <w:unhideWhenUsed/>
    <w:pPr>
      <w:spacing w:before="0" w:after="57"/>
      <w:ind w:left="0" w:right="0" w:hanging="0"/>
    </w:pPr>
    <w:rPr/>
  </w:style>
  <w:style w:type="paragraph" w:styleId="22">
    <w:name w:val="TOC 2"/>
    <w:basedOn w:val="Normal"/>
    <w:uiPriority w:val="39"/>
    <w:unhideWhenUsed/>
    <w:pPr>
      <w:spacing w:before="0" w:after="57"/>
      <w:ind w:left="283" w:right="0" w:hanging="0"/>
    </w:pPr>
    <w:rPr/>
  </w:style>
  <w:style w:type="paragraph" w:styleId="32">
    <w:name w:val="TOC 3"/>
    <w:basedOn w:val="Normal"/>
    <w:uiPriority w:val="39"/>
    <w:unhideWhenUsed/>
    <w:pPr>
      <w:spacing w:before="0" w:after="57"/>
      <w:ind w:left="567" w:right="0" w:hanging="0"/>
    </w:pPr>
    <w:rPr/>
  </w:style>
  <w:style w:type="paragraph" w:styleId="42">
    <w:name w:val="TOC 4"/>
    <w:basedOn w:val="Normal"/>
    <w:uiPriority w:val="39"/>
    <w:unhideWhenUsed/>
    <w:pPr>
      <w:spacing w:before="0" w:after="57"/>
      <w:ind w:left="850" w:right="0" w:hanging="0"/>
    </w:pPr>
    <w:rPr/>
  </w:style>
  <w:style w:type="paragraph" w:styleId="52">
    <w:name w:val="TOC 5"/>
    <w:basedOn w:val="Normal"/>
    <w:uiPriority w:val="39"/>
    <w:unhideWhenUsed/>
    <w:pPr>
      <w:spacing w:before="0" w:after="57"/>
      <w:ind w:left="1134" w:right="0" w:hanging="0"/>
    </w:pPr>
    <w:rPr/>
  </w:style>
  <w:style w:type="paragraph" w:styleId="62">
    <w:name w:val="TOC 6"/>
    <w:basedOn w:val="Normal"/>
    <w:uiPriority w:val="39"/>
    <w:unhideWhenUsed/>
    <w:pPr>
      <w:spacing w:before="0" w:after="57"/>
      <w:ind w:left="1417" w:right="0" w:hanging="0"/>
    </w:pPr>
    <w:rPr/>
  </w:style>
  <w:style w:type="paragraph" w:styleId="72">
    <w:name w:val="TOC 7"/>
    <w:basedOn w:val="Normal"/>
    <w:uiPriority w:val="39"/>
    <w:unhideWhenUsed/>
    <w:pPr>
      <w:spacing w:before="0" w:after="57"/>
      <w:ind w:left="1701" w:right="0" w:hanging="0"/>
    </w:pPr>
    <w:rPr/>
  </w:style>
  <w:style w:type="paragraph" w:styleId="82">
    <w:name w:val="TOC 8"/>
    <w:basedOn w:val="Normal"/>
    <w:uiPriority w:val="39"/>
    <w:unhideWhenUsed/>
    <w:pPr>
      <w:spacing w:before="0" w:after="57"/>
      <w:ind w:left="1984" w:right="0" w:hanging="0"/>
    </w:pPr>
    <w:rPr/>
  </w:style>
  <w:style w:type="paragraph" w:styleId="92">
    <w:name w:val="TOC 9"/>
    <w:basedOn w:val="Normal"/>
    <w:uiPriority w:val="39"/>
    <w:unhideWhenUsed/>
    <w:pPr>
      <w:spacing w:before="0" w:after="57"/>
      <w:ind w:left="2268" w:right="0" w:hanging="0"/>
    </w:pPr>
    <w:rPr/>
  </w:style>
  <w:style w:type="paragraph" w:styleId="TOCHeading">
    <w:name w:val="TOC Heading"/>
    <w:uiPriority w:val="39"/>
    <w:unhideWhenUsed/>
    <w:qFormat/>
    <w:pPr>
      <w:widowControl/>
      <w:overflowPunct w:val="true"/>
      <w:bidi w:val="0"/>
      <w:jc w:val="left"/>
    </w:pPr>
    <w:rPr>
      <w:rFonts w:ascii="Liberation Serif" w:hAnsi="Liberation Serif" w:eastAsia="NSimSun" w:cs="Arial"/>
      <w:color w:val="auto"/>
      <w:kern w:val="2"/>
      <w:sz w:val="24"/>
      <w:szCs w:val="24"/>
      <w:lang w:val="ru-RU" w:eastAsia="zh-CN" w:bidi="hi-IN"/>
    </w:rPr>
  </w:style>
  <w:style w:type="paragraph" w:styleId="Tableoffigures">
    <w:name w:val="table of figures"/>
    <w:basedOn w:val="Normal"/>
    <w:uiPriority w:val="99"/>
    <w:unhideWhenUsed/>
    <w:qFormat/>
    <w:pPr>
      <w:spacing w:before="0" w:afterAutospacing="0" w:after="0"/>
    </w:pPr>
    <w:rPr/>
  </w:style>
  <w:style w:type="paragraph" w:styleId="Style29">
    <w:name w:val="Название объекта"/>
    <w:basedOn w:val="Normal"/>
    <w:link w:val="673"/>
    <w:qFormat/>
    <w:pPr>
      <w:suppressLineNumbers/>
      <w:spacing w:before="120" w:after="120"/>
    </w:pPr>
    <w:rPr>
      <w:rFonts w:cs="Arial"/>
      <w:i/>
      <w:iCs/>
      <w:sz w:val="24"/>
      <w:szCs w:val="24"/>
    </w:rPr>
  </w:style>
  <w:style w:type="paragraph" w:styleId="111">
    <w:name w:val="Указатель11"/>
    <w:basedOn w:val="Normal"/>
    <w:link w:val="673"/>
    <w:qFormat/>
    <w:pPr>
      <w:suppressLineNumbers/>
    </w:pPr>
    <w:rPr>
      <w:rFonts w:cs="Arial"/>
    </w:rPr>
  </w:style>
  <w:style w:type="paragraph" w:styleId="93">
    <w:name w:val="Название9"/>
    <w:basedOn w:val="Normal"/>
    <w:link w:val="673"/>
    <w:qFormat/>
    <w:pPr>
      <w:suppressLineNumbers/>
      <w:spacing w:before="120" w:after="120"/>
    </w:pPr>
    <w:rPr>
      <w:rFonts w:ascii="Arial" w:hAnsi="Arial" w:cs="Mangal"/>
      <w:i/>
      <w:iCs/>
      <w:sz w:val="20"/>
      <w:szCs w:val="24"/>
    </w:rPr>
  </w:style>
  <w:style w:type="paragraph" w:styleId="94">
    <w:name w:val="Указатель9"/>
    <w:basedOn w:val="Normal"/>
    <w:link w:val="673"/>
    <w:qFormat/>
    <w:pPr>
      <w:suppressLineNumbers/>
    </w:pPr>
    <w:rPr>
      <w:rFonts w:ascii="Arial" w:hAnsi="Arial" w:cs="Mangal"/>
    </w:rPr>
  </w:style>
  <w:style w:type="paragraph" w:styleId="83">
    <w:name w:val="Название8"/>
    <w:basedOn w:val="Normal"/>
    <w:link w:val="673"/>
    <w:qFormat/>
    <w:pPr>
      <w:suppressLineNumbers/>
      <w:spacing w:before="120" w:after="120"/>
    </w:pPr>
    <w:rPr>
      <w:rFonts w:ascii="Arial" w:hAnsi="Arial" w:cs="Mangal"/>
      <w:i/>
      <w:iCs/>
      <w:sz w:val="20"/>
      <w:szCs w:val="24"/>
    </w:rPr>
  </w:style>
  <w:style w:type="paragraph" w:styleId="84">
    <w:name w:val="Указатель8"/>
    <w:basedOn w:val="Normal"/>
    <w:link w:val="673"/>
    <w:qFormat/>
    <w:pPr>
      <w:suppressLineNumbers/>
    </w:pPr>
    <w:rPr>
      <w:rFonts w:ascii="Arial" w:hAnsi="Arial" w:cs="Mangal"/>
    </w:rPr>
  </w:style>
  <w:style w:type="paragraph" w:styleId="73">
    <w:name w:val="Название7"/>
    <w:basedOn w:val="Normal"/>
    <w:link w:val="673"/>
    <w:qFormat/>
    <w:pPr>
      <w:suppressLineNumbers/>
      <w:spacing w:before="120" w:after="120"/>
    </w:pPr>
    <w:rPr>
      <w:rFonts w:ascii="Arial" w:hAnsi="Arial" w:cs="Mangal"/>
      <w:i/>
      <w:iCs/>
      <w:sz w:val="20"/>
      <w:szCs w:val="24"/>
    </w:rPr>
  </w:style>
  <w:style w:type="paragraph" w:styleId="74">
    <w:name w:val="Указатель7"/>
    <w:basedOn w:val="Normal"/>
    <w:link w:val="673"/>
    <w:qFormat/>
    <w:pPr>
      <w:suppressLineNumbers/>
    </w:pPr>
    <w:rPr>
      <w:rFonts w:ascii="Arial" w:hAnsi="Arial" w:cs="Mangal"/>
    </w:rPr>
  </w:style>
  <w:style w:type="paragraph" w:styleId="63">
    <w:name w:val="Название6"/>
    <w:basedOn w:val="Normal"/>
    <w:link w:val="673"/>
    <w:qFormat/>
    <w:pPr>
      <w:suppressLineNumbers/>
      <w:spacing w:before="120" w:after="120"/>
    </w:pPr>
    <w:rPr>
      <w:rFonts w:ascii="Arial" w:hAnsi="Arial" w:cs="Mangal"/>
      <w:i/>
      <w:iCs/>
      <w:sz w:val="20"/>
      <w:szCs w:val="24"/>
    </w:rPr>
  </w:style>
  <w:style w:type="paragraph" w:styleId="64">
    <w:name w:val="Указатель6"/>
    <w:basedOn w:val="Normal"/>
    <w:link w:val="673"/>
    <w:qFormat/>
    <w:pPr>
      <w:suppressLineNumbers/>
    </w:pPr>
    <w:rPr>
      <w:rFonts w:ascii="Arial" w:hAnsi="Arial" w:cs="Mangal"/>
    </w:rPr>
  </w:style>
  <w:style w:type="paragraph" w:styleId="53">
    <w:name w:val="Название5"/>
    <w:basedOn w:val="Normal"/>
    <w:link w:val="673"/>
    <w:qFormat/>
    <w:pPr>
      <w:suppressLineNumbers/>
      <w:spacing w:before="120" w:after="120"/>
    </w:pPr>
    <w:rPr>
      <w:rFonts w:ascii="Arial" w:hAnsi="Arial" w:cs="Mangal"/>
      <w:i/>
      <w:iCs/>
      <w:sz w:val="20"/>
      <w:szCs w:val="24"/>
    </w:rPr>
  </w:style>
  <w:style w:type="paragraph" w:styleId="54">
    <w:name w:val="Указатель5"/>
    <w:basedOn w:val="Normal"/>
    <w:link w:val="673"/>
    <w:qFormat/>
    <w:pPr>
      <w:suppressLineNumbers/>
    </w:pPr>
    <w:rPr>
      <w:rFonts w:ascii="Arial" w:hAnsi="Arial" w:cs="Mangal"/>
    </w:rPr>
  </w:style>
  <w:style w:type="paragraph" w:styleId="43">
    <w:name w:val="Название4"/>
    <w:basedOn w:val="Normal"/>
    <w:link w:val="673"/>
    <w:qFormat/>
    <w:pPr>
      <w:suppressLineNumbers/>
      <w:spacing w:before="120" w:after="120"/>
    </w:pPr>
    <w:rPr>
      <w:rFonts w:ascii="Arial" w:hAnsi="Arial" w:cs="Mangal"/>
      <w:i/>
      <w:iCs/>
      <w:sz w:val="20"/>
      <w:szCs w:val="24"/>
    </w:rPr>
  </w:style>
  <w:style w:type="paragraph" w:styleId="44">
    <w:name w:val="Указатель4"/>
    <w:basedOn w:val="Normal"/>
    <w:link w:val="673"/>
    <w:qFormat/>
    <w:pPr>
      <w:suppressLineNumbers/>
    </w:pPr>
    <w:rPr>
      <w:rFonts w:ascii="Arial" w:hAnsi="Arial" w:cs="Mangal"/>
    </w:rPr>
  </w:style>
  <w:style w:type="paragraph" w:styleId="33">
    <w:name w:val="Название3"/>
    <w:basedOn w:val="Normal"/>
    <w:link w:val="673"/>
    <w:qFormat/>
    <w:pPr>
      <w:suppressLineNumbers/>
      <w:spacing w:before="120" w:after="120"/>
    </w:pPr>
    <w:rPr>
      <w:rFonts w:ascii="Arial" w:hAnsi="Arial" w:cs="Mangal"/>
      <w:i/>
      <w:iCs/>
      <w:sz w:val="20"/>
      <w:szCs w:val="24"/>
    </w:rPr>
  </w:style>
  <w:style w:type="paragraph" w:styleId="34">
    <w:name w:val="Указатель3"/>
    <w:basedOn w:val="Normal"/>
    <w:link w:val="673"/>
    <w:qFormat/>
    <w:pPr>
      <w:suppressLineNumbers/>
    </w:pPr>
    <w:rPr>
      <w:rFonts w:ascii="Arial" w:hAnsi="Arial" w:cs="Mangal"/>
    </w:rPr>
  </w:style>
  <w:style w:type="paragraph" w:styleId="23">
    <w:name w:val="Название2"/>
    <w:basedOn w:val="Normal"/>
    <w:link w:val="673"/>
    <w:qFormat/>
    <w:pPr>
      <w:suppressLineNumbers/>
      <w:spacing w:before="120" w:after="120"/>
    </w:pPr>
    <w:rPr>
      <w:rFonts w:ascii="Arial" w:hAnsi="Arial" w:cs="Mangal"/>
      <w:i/>
      <w:iCs/>
      <w:sz w:val="20"/>
      <w:szCs w:val="24"/>
    </w:rPr>
  </w:style>
  <w:style w:type="paragraph" w:styleId="24">
    <w:name w:val="Указатель2"/>
    <w:basedOn w:val="Normal"/>
    <w:link w:val="673"/>
    <w:qFormat/>
    <w:pPr>
      <w:suppressLineNumbers/>
    </w:pPr>
    <w:rPr>
      <w:rFonts w:ascii="Arial" w:hAnsi="Arial" w:cs="Mangal"/>
    </w:rPr>
  </w:style>
  <w:style w:type="paragraph" w:styleId="15">
    <w:name w:val="Название1"/>
    <w:basedOn w:val="Normal"/>
    <w:link w:val="673"/>
    <w:qFormat/>
    <w:pPr>
      <w:suppressLineNumbers/>
      <w:spacing w:before="120" w:after="120"/>
    </w:pPr>
    <w:rPr>
      <w:rFonts w:ascii="Arial" w:hAnsi="Arial" w:cs="Mangal"/>
      <w:i/>
      <w:iCs/>
      <w:sz w:val="20"/>
      <w:szCs w:val="24"/>
    </w:rPr>
  </w:style>
  <w:style w:type="paragraph" w:styleId="16">
    <w:name w:val="Указатель1"/>
    <w:basedOn w:val="Normal"/>
    <w:link w:val="673"/>
    <w:qFormat/>
    <w:pPr>
      <w:suppressLineNumbers/>
    </w:pPr>
    <w:rPr>
      <w:rFonts w:ascii="Arial" w:hAnsi="Arial" w:cs="Mangal"/>
    </w:rPr>
  </w:style>
  <w:style w:type="paragraph" w:styleId="0">
    <w:name w:val="Стиль Первая строка:  0 см"/>
    <w:basedOn w:val="Normal"/>
    <w:link w:val="673"/>
    <w:qFormat/>
    <w:pPr/>
    <w:rPr/>
  </w:style>
  <w:style w:type="paragraph" w:styleId="Style30">
    <w:name w:val="Текст выноски"/>
    <w:basedOn w:val="Normal"/>
    <w:link w:val="673"/>
    <w:qFormat/>
    <w:pPr/>
    <w:rPr>
      <w:rFonts w:ascii="Tahoma" w:hAnsi="Tahoma" w:cs="Tahoma"/>
      <w:sz w:val="16"/>
      <w:szCs w:val="16"/>
    </w:rPr>
  </w:style>
  <w:style w:type="paragraph" w:styleId="17">
    <w:name w:val="Схема документа1"/>
    <w:basedOn w:val="Normal"/>
    <w:link w:val="673"/>
    <w:qFormat/>
    <w:pPr>
      <w:shd w:val="clear" w:color="auto" w:fill="000080"/>
    </w:pPr>
    <w:rPr>
      <w:rFonts w:ascii="Tahoma" w:hAnsi="Tahoma" w:cs="Tahoma"/>
    </w:rPr>
  </w:style>
  <w:style w:type="paragraph" w:styleId="18">
    <w:name w:val="Текст примечания1"/>
    <w:basedOn w:val="Normal"/>
    <w:link w:val="673"/>
    <w:qFormat/>
    <w:pPr/>
    <w:rPr>
      <w:sz w:val="20"/>
      <w:szCs w:val="20"/>
    </w:rPr>
  </w:style>
  <w:style w:type="paragraph" w:styleId="Style31">
    <w:name w:val="Тема примечания"/>
    <w:basedOn w:val="18"/>
    <w:link w:val="673"/>
    <w:qFormat/>
    <w:pPr/>
    <w:rPr>
      <w:b/>
      <w:bCs/>
    </w:rPr>
  </w:style>
  <w:style w:type="paragraph" w:styleId="Style32">
    <w:name w:val="Body Text Indent"/>
    <w:basedOn w:val="Normal"/>
    <w:link w:val="673"/>
    <w:pPr>
      <w:spacing w:before="0" w:after="120"/>
      <w:ind w:left="283" w:right="0" w:hanging="0"/>
    </w:pPr>
    <w:rPr/>
  </w:style>
  <w:style w:type="paragraph" w:styleId="Style33">
    <w:name w:val="Абзац списка"/>
    <w:basedOn w:val="Normal"/>
    <w:link w:val="673"/>
    <w:qFormat/>
    <w:pPr>
      <w:ind w:left="708" w:right="0" w:hanging="0"/>
    </w:pPr>
    <w:rPr/>
  </w:style>
  <w:style w:type="paragraph" w:styleId="25">
    <w:name w:val="çàãîëîâîê 2"/>
    <w:basedOn w:val="Normal"/>
    <w:link w:val="673"/>
    <w:qFormat/>
    <w:pPr>
      <w:keepNext w:val="true"/>
      <w:widowControl w:val="false"/>
      <w:jc w:val="center"/>
    </w:pPr>
    <w:rPr>
      <w:b/>
      <w:sz w:val="28"/>
      <w:szCs w:val="20"/>
    </w:rPr>
  </w:style>
  <w:style w:type="paragraph" w:styleId="Style34">
    <w:name w:val="Обычный (веб)"/>
    <w:basedOn w:val="Normal"/>
    <w:link w:val="673"/>
    <w:qFormat/>
    <w:pPr>
      <w:spacing w:before="280" w:after="280"/>
    </w:pPr>
    <w:rPr/>
  </w:style>
  <w:style w:type="paragraph" w:styleId="Style35">
    <w:name w:val="Содержимое таблицы"/>
    <w:basedOn w:val="Normal"/>
    <w:link w:val="673"/>
    <w:qFormat/>
    <w:pPr>
      <w:suppressLineNumbers/>
    </w:pPr>
    <w:rPr/>
  </w:style>
  <w:style w:type="paragraph" w:styleId="Style36">
    <w:name w:val="Заголовок таблицы"/>
    <w:basedOn w:val="Style35"/>
    <w:link w:val="673"/>
    <w:qFormat/>
    <w:pPr>
      <w:suppressLineNumbers/>
      <w:jc w:val="center"/>
    </w:pPr>
    <w:rPr>
      <w:b/>
      <w:bCs/>
    </w:rPr>
  </w:style>
  <w:style w:type="paragraph" w:styleId="ListParagraph">
    <w:name w:val="List Paragraph"/>
    <w:basedOn w:val="Normal"/>
    <w:link w:val="673"/>
    <w:qFormat/>
    <w:pPr>
      <w:ind w:left="720" w:right="0" w:hanging="0"/>
    </w:pPr>
    <w:rPr/>
  </w:style>
  <w:style w:type="paragraph" w:styleId="P26">
    <w:name w:val="p26"/>
    <w:basedOn w:val="Normal"/>
    <w:link w:val="673"/>
    <w:qFormat/>
    <w:pPr>
      <w:spacing w:lineRule="atLeast" w:line="200" w:before="100" w:after="100"/>
    </w:pPr>
    <w:rPr>
      <w:rFonts w:ascii="Times New Roman" w:hAnsi="Times New Roman" w:eastAsia="Times New Roman" w:cs="Times New Roman"/>
      <w:sz w:val="24"/>
      <w:szCs w:val="24"/>
    </w:rPr>
  </w:style>
  <w:style w:type="paragraph" w:styleId="P24">
    <w:name w:val="p24"/>
    <w:basedOn w:val="Normal"/>
    <w:link w:val="673"/>
    <w:qFormat/>
    <w:pPr>
      <w:spacing w:lineRule="atLeast" w:line="200" w:before="100" w:after="100"/>
    </w:pPr>
    <w:rPr>
      <w:rFonts w:ascii="Times New Roman" w:hAnsi="Times New Roman" w:eastAsia="Times New Roman" w:cs="Times New Roman"/>
      <w:sz w:val="24"/>
      <w:szCs w:val="24"/>
    </w:rPr>
  </w:style>
  <w:style w:type="paragraph" w:styleId="101">
    <w:name w:val="Указатель10"/>
    <w:basedOn w:val="Normal"/>
    <w:link w:val="673"/>
    <w:qFormat/>
    <w:pPr>
      <w:suppressLineNumbers/>
    </w:pPr>
    <w:rPr>
      <w:rFonts w:cs="Arial"/>
    </w:rPr>
  </w:style>
  <w:style w:type="paragraph" w:styleId="102">
    <w:name w:val="Название10"/>
    <w:basedOn w:val="Normal"/>
    <w:link w:val="673"/>
    <w:qFormat/>
    <w:pPr>
      <w:suppressLineNumbers/>
      <w:spacing w:before="120" w:after="120"/>
    </w:pPr>
    <w:rPr>
      <w:rFonts w:cs="Arial"/>
      <w:i/>
      <w:iCs/>
      <w:sz w:val="24"/>
      <w:szCs w:val="24"/>
    </w:rPr>
  </w:style>
  <w:style w:type="paragraph" w:styleId="19">
    <w:name w:val="Заголовок1"/>
    <w:basedOn w:val="Normal"/>
    <w:link w:val="673"/>
    <w:qFormat/>
    <w:pPr>
      <w:keepNext w:val="true"/>
      <w:spacing w:before="240" w:after="120"/>
    </w:pPr>
    <w:rPr>
      <w:rFonts w:ascii="Arial" w:hAnsi="Arial" w:eastAsia="Lucida Sans Unicode" w:cs="Mangal"/>
      <w:sz w:val="28"/>
      <w:szCs w:val="28"/>
    </w:rPr>
  </w:style>
  <w:style w:type="paragraph" w:styleId="Style37">
    <w:name w:val="Текст примечания"/>
    <w:basedOn w:val="Normal"/>
    <w:link w:val="673"/>
    <w:qFormat/>
    <w:pPr/>
    <w:rPr>
      <w:sz w:val="20"/>
      <w:szCs w:val="20"/>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zik.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
  <TotalTime>148</TotalTime>
  <Application>LibreOffice/6.2.8.2$Windows_X86_64 LibreOffice_project/f82ddfca21ebc1e222a662a32b25c0c9d20169ee</Application>
  <Pages>8</Pages>
  <Words>4443</Words>
  <Characters>31080</Characters>
  <CharactersWithSpaces>35886</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1995-11-21T12:41:00Z</dcterms:created>
  <dc:creator>Скородумова Ольга Анатольевна</dc:creator>
  <dc:description/>
  <dc:language>ru-RU</dc:language>
  <cp:lastModifiedBy/>
  <cp:lastPrinted>2026-08-05T12:52:32Z</cp:lastPrinted>
  <dcterms:modified xsi:type="dcterms:W3CDTF">2026-08-05T12:52:47Z</dcterms:modified>
  <cp:revision>132</cp:revision>
  <dc:subject/>
  <dc:title>ДОГОВОР ПОСТАВКИ</dc:title>
</cp:coreProperties>
</file>