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8"/>
        <w:ind w:right="-5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  <w:outlineLvl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bookmarkStart w:id="0" w:name="_Toc191962030"/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УТВЕРЖДАЮ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858"/>
        <w:ind w:right="-5" w:firstLine="360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4"/>
          <w:szCs w:val="24"/>
          <w:highlight w:val="none"/>
        </w:rPr>
        <w:t xml:space="preserve">И.о. руководителя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4"/>
          <w:szCs w:val="24"/>
          <w:highlight w:val="none"/>
        </w:rPr>
        <w:t xml:space="preserve"> Управления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  <w:highlight w:val="none"/>
        </w:rPr>
      </w:r>
    </w:p>
    <w:p>
      <w:pPr>
        <w:pStyle w:val="858"/>
        <w:ind w:right="-5" w:firstLine="360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4"/>
          <w:szCs w:val="24"/>
          <w:highlight w:val="none"/>
        </w:rPr>
        <w:t xml:space="preserve">Федеральной службы государственной регистрации,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  <w:highlight w:val="none"/>
        </w:rPr>
      </w:r>
    </w:p>
    <w:p>
      <w:pPr>
        <w:pStyle w:val="858"/>
        <w:ind w:right="-5" w:firstLine="360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4"/>
          <w:szCs w:val="24"/>
          <w:highlight w:val="none"/>
        </w:rPr>
        <w:t xml:space="preserve">кадастра и картографии по Кировской области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  <w:highlight w:val="none"/>
        </w:rPr>
      </w:r>
    </w:p>
    <w:p>
      <w:pPr>
        <w:pStyle w:val="858"/>
        <w:ind w:right="-5" w:firstLine="360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4"/>
          <w:szCs w:val="24"/>
          <w:highlight w:val="none"/>
        </w:rPr>
        <w:t xml:space="preserve">____________ 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4"/>
          <w:szCs w:val="24"/>
          <w:highlight w:val="none"/>
        </w:rPr>
        <w:t xml:space="preserve">С.В. Вачевских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  <w:highlight w:val="none"/>
        </w:rPr>
      </w:r>
    </w:p>
    <w:p>
      <w:pPr>
        <w:pStyle w:val="850"/>
        <w:ind w:right="-5" w:firstLine="360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none"/>
        </w:rPr>
        <w:t xml:space="preserve">«         »________________20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none"/>
        </w:rPr>
        <w:t xml:space="preserve">2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none"/>
        </w:rPr>
        <w:t xml:space="preserve">6 </w:t>
      </w:r>
      <w:r>
        <w:rPr>
          <w:rFonts w:ascii="Times New Roman" w:hAnsi="Times New Roman" w:eastAsia="Times New Roman" w:cs="Times New Roman"/>
          <w:bCs/>
          <w:color w:val="000000" w:themeColor="text1"/>
          <w:sz w:val="24"/>
          <w:szCs w:val="24"/>
          <w:highlight w:val="none"/>
        </w:rPr>
        <w:t xml:space="preserve">года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pStyle w:val="856"/>
        <w:spacing w:before="0" w:line="20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856"/>
        <w:spacing w:before="0" w:line="209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outlineLvl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Извещение </w:t>
      </w:r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tbl>
      <w:tblPr>
        <w:tblW w:w="10916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425"/>
        <w:gridCol w:w="3049"/>
        <w:gridCol w:w="744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left="317" w:right="-5" w:hanging="42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8"/>
              <w:ind w:right="-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</w:rPr>
              <w:t xml:space="preserve">Способ определения поставщика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top"/>
            <w:textDirection w:val="lrTb"/>
            <w:noWrap w:val="false"/>
          </w:tcPr>
          <w:p>
            <w:pPr>
              <w:pStyle w:val="858"/>
              <w:ind w:right="-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Электронный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аукцион (далее – аукцион)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6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8"/>
              <w:ind w:right="-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</w:rPr>
              <w:t xml:space="preserve">Адрес электронной площадки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pPr>
              <w:pStyle w:val="858"/>
              <w:ind w:right="-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http://www. sberbank-ast.ru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63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8"/>
              <w:ind w:right="-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</w:rPr>
              <w:t xml:space="preserve">Сведения о государственном заказчике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top"/>
            <w:textDirection w:val="lrTb"/>
            <w:noWrap w:val="false"/>
          </w:tcPr>
          <w:tbl>
            <w:tblPr>
              <w:tblpPr w:horzAnchor="margin" w:tblpXSpec="left" w:vertAnchor="margin" w:tblpY="206" w:leftFromText="180" w:topFromText="0" w:rightFromText="180" w:bottomFromText="0"/>
              <w:tblW w:w="6941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2275"/>
              <w:gridCol w:w="4666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360"/>
              </w:trPr>
              <w:tc>
                <w:tcPr>
                  <w:tcW w:w="2275" w:type="dxa"/>
                  <w:vAlign w:val="center"/>
                  <w:textDirection w:val="lrTb"/>
                  <w:noWrap w:val="false"/>
                </w:tcPr>
                <w:p>
                  <w:pPr>
                    <w:pStyle w:val="85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Наименование: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</w:p>
              </w:tc>
              <w:tc>
                <w:tcPr>
                  <w:tcW w:w="4666" w:type="dxa"/>
                  <w:vAlign w:val="top"/>
                  <w:textDirection w:val="lrTb"/>
                  <w:noWrap w:val="false"/>
                </w:tcPr>
                <w:p>
                  <w:pPr>
                    <w:pStyle w:val="85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Управление Федеральной службы государственной регистрации, кадастра и картографии по Кировской области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360"/>
              </w:trPr>
              <w:tc>
                <w:tcPr>
                  <w:tcW w:w="2275" w:type="dxa"/>
                  <w:vAlign w:val="center"/>
                  <w:textDirection w:val="lrTb"/>
                  <w:noWrap w:val="false"/>
                </w:tcPr>
                <w:p>
                  <w:pPr>
                    <w:pStyle w:val="85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Место нахождения: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</w:p>
              </w:tc>
              <w:tc>
                <w:tcPr>
                  <w:tcW w:w="4666" w:type="dxa"/>
                  <w:vAlign w:val="top"/>
                  <w:textDirection w:val="lrTb"/>
                  <w:noWrap w:val="false"/>
                </w:tcPr>
                <w:p>
                  <w:pPr>
                    <w:pStyle w:val="85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610002, г. Киров, ул. Ленина, 108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360"/>
              </w:trPr>
              <w:tc>
                <w:tcPr>
                  <w:tcW w:w="2275" w:type="dxa"/>
                  <w:vAlign w:val="center"/>
                  <w:textDirection w:val="lrTb"/>
                  <w:noWrap w:val="false"/>
                </w:tcPr>
                <w:p>
                  <w:pPr>
                    <w:pStyle w:val="85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Почтовый адрес: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</w:p>
              </w:tc>
              <w:tc>
                <w:tcPr>
                  <w:tcW w:w="4666" w:type="dxa"/>
                  <w:vAlign w:val="top"/>
                  <w:textDirection w:val="lrTb"/>
                  <w:noWrap w:val="false"/>
                </w:tcPr>
                <w:p>
                  <w:pPr>
                    <w:pStyle w:val="85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610002, г. Киров, ул. Ленина, 108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360"/>
              </w:trPr>
              <w:tc>
                <w:tcPr>
                  <w:tcW w:w="2275" w:type="dxa"/>
                  <w:vAlign w:val="center"/>
                  <w:textDirection w:val="lrTb"/>
                  <w:noWrap w:val="false"/>
                </w:tcPr>
                <w:p>
                  <w:pPr>
                    <w:pStyle w:val="85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Адрес электронной почты: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</w:p>
              </w:tc>
              <w:tc>
                <w:tcPr>
                  <w:tcW w:w="4666" w:type="dxa"/>
                  <w:vAlign w:val="top"/>
                  <w:textDirection w:val="lrTb"/>
                  <w:noWrap w:val="false"/>
                </w:tcPr>
                <w:p>
                  <w:pPr>
                    <w:pStyle w:val="85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43_upr@rosreestr.ru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360"/>
              </w:trPr>
              <w:tc>
                <w:tcPr>
                  <w:tcW w:w="2275" w:type="dxa"/>
                  <w:vAlign w:val="center"/>
                  <w:textDirection w:val="lrTb"/>
                  <w:noWrap w:val="false"/>
                </w:tcPr>
                <w:p>
                  <w:pPr>
                    <w:pStyle w:val="85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Контактные лица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</w:p>
              </w:tc>
              <w:tc>
                <w:tcPr>
                  <w:tcW w:w="4666" w:type="dxa"/>
                  <w:vAlign w:val="top"/>
                  <w:textDirection w:val="lrTb"/>
                  <w:noWrap w:val="false"/>
                </w:tcPr>
                <w:p>
                  <w:pPr>
                    <w:pStyle w:val="850"/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  <w:t xml:space="preserve">Кропачев Вадим Валерьевич - </w:t>
                  </w: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</w:r>
                </w:p>
                <w:p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  <w:t xml:space="preserve">8(8332) </w:t>
                  </w: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  <w:t xml:space="preserve">35-99-</w:t>
                  </w: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  <w:t xml:space="preserve">58 - </w:t>
                  </w: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  <w:t xml:space="preserve">ответственный за закупку;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</w:r>
                </w:p>
                <w:p>
                  <w:pPr>
                    <w:pStyle w:val="850"/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Прозорова Ольга Анатольевна</w:t>
                  </w: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  <w:t xml:space="preserve">- </w:t>
                  </w: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</w:r>
                </w:p>
                <w:p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8(8332</w:t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) </w:t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35-99-52</w:t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- о</w:t>
                  </w: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  <w:t xml:space="preserve">тветственный за приемку товара.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</w:p>
              </w:tc>
            </w:tr>
          </w:tbl>
          <w:p>
            <w:pPr>
              <w:pStyle w:val="858"/>
              <w:ind w:right="-5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32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8"/>
              <w:ind w:right="-5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</w:rPr>
              <w:t xml:space="preserve">Наименование объекта закупки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</w:p>
          <w:p>
            <w:pPr>
              <w:pStyle w:val="858"/>
              <w:ind w:right="-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pPr>
              <w:pStyle w:val="851"/>
              <w:spacing w:before="0" w:after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4"/>
                <w:szCs w:val="24"/>
                <w:lang w:val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4"/>
                <w:szCs w:val="24"/>
                <w:lang w:val="ru-RU"/>
              </w:rPr>
              <w:t xml:space="preserve">остав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материальных запасов для нужд гражданской обороны (противогазов)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38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8"/>
              <w:ind w:right="-5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</w:rPr>
              <w:t xml:space="preserve">Описание объекта закупки и количество поставляемого товара, объема выполняемых работ, оказываемых услуг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pPr>
              <w:pStyle w:val="850"/>
              <w:tabs>
                <w:tab w:val="left" w:pos="544" w:leader="none"/>
                <w:tab w:val="left" w:pos="7668" w:leader="none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 соответствии с Техническим заданием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8"/>
              <w:ind w:right="-5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</w:rPr>
              <w:t xml:space="preserve">Место поставки товара, выполнения работ, оказания услуг 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top"/>
            <w:textDirection w:val="lrTb"/>
            <w:noWrap w:val="false"/>
          </w:tcPr>
          <w:p>
            <w:pPr>
              <w:pStyle w:val="85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Поставка товара должна осуществляться по адресу «Заказчика»: г. Киров, ул. Ленина, д. № 108.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84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8"/>
              <w:ind w:right="-5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</w:rPr>
              <w:t xml:space="preserve">Сроки поставки товара, выполнения работ, оказания услуг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top"/>
            <w:textDirection w:val="lrTb"/>
            <w:noWrap w:val="false"/>
          </w:tcPr>
          <w:p>
            <w:pPr>
              <w:pStyle w:val="85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Срок поставки всего объема товара –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в течение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10 (десят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календарных дней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 даты заключения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Контракта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59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8"/>
              <w:ind w:right="-5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</w:rPr>
              <w:t xml:space="preserve">Начальная (максимальная) цена контракта 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r>
            <w:r>
              <w:rPr>
                <w:rFonts w:eastAsia="Times New Roman"/>
                <w:b/>
                <w:sz w:val="22"/>
                <w:szCs w:val="22"/>
              </w:rPr>
              <w:t xml:space="preserve">250 000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двести пятьдесят тысяч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 рубл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ей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00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копеек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r>
          </w:p>
          <w:p>
            <w:pPr>
              <w:pStyle w:val="85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</w:p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Обоснование начальной (максимальной) цены контракта 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существляется методом сопоставимых рыночных цен (анализа рынка) в соответствии с частью 6 статьи 22 Федерального закона «О контрактной системе в сфере закупок товаров, работ, услуг для обеспечения государственных и муниципальных нужд» № 44-ФЗ от 05.04.2013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0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Источник финансирования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pPr>
              <w:pStyle w:val="850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Федеральный бюджет.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0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Идентификационный код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pPr>
              <w:ind w:firstLine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261434509342043450100100510013299244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0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Критерии оц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ен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ки заявок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pPr>
              <w:pStyle w:val="850"/>
              <w:ind w:firstLine="0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eastAsia="zh-CN"/>
              </w:rPr>
              <w:t xml:space="preserve">Цена контракта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0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Требования, предъявляемые к участникам закупки в соответствии с п. 1 ч. 1 ст. 31 Федерального закона  от 05.04.2013  № 44-ФЗ «О контрактной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системе в сфере закупок товаров, работ, услуг для обеспечения государственных и муниципальных нужд» (далее - Закон № 44-ФЗ), требования, предъявляемые к участникам закупки в соответствии с ч. 2 и ч. 2.1 (при наличии таких требований) ст. 31 Закона 44-ФЗ,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pPr>
              <w:pStyle w:val="850"/>
              <w:numPr>
                <w:ilvl w:val="0"/>
                <w:numId w:val="9"/>
              </w:numPr>
              <w:ind w:left="34" w:firstLine="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0"/>
              <w:ind w:left="34" w:firstLine="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2)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0"/>
              <w:ind w:left="34" w:firstLine="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3)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неприостановление деятельности участника закупки в порядке, установленном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instrText xml:space="preserve"> HYPERLINK "consultantplus://offline/ref=F20EA9E81725EB70BBFC435D4EB6A0C73CBE8646BA4DD368C042EE26F8A7943378E292155Bu3R0N" </w:instrTex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u w:val="single"/>
                <w:lang w:eastAsia="zh-CN"/>
              </w:rPr>
              <w:t xml:space="preserve">Кодексом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Российской Федерации об административных правонарушениях;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0"/>
              <w:ind w:left="34" w:firstLine="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4)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отсутствие у 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instrText xml:space="preserve"> HYPERLINK "consultantplus://offline/ref=F20EA9E81725EB70BBFC435D4EB6A0C73CBE834EBD46D368C042EE26F8A7943378E292115B30uCRAN" </w:instrTex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u w:val="single"/>
                <w:lang w:eastAsia="zh-CN"/>
              </w:rPr>
              <w:t xml:space="preserve">законодательством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Российской Федерации о налогах и сборах, которые реструк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instrText xml:space="preserve"> HYPERLINK "consultantplus://offline/ref=F20EA9E81725EB70BBFC435D4EB6A0C73CBE834EBD46D368C042EE26F8A7943378E292115B32uCRDN" </w:instrTex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u w:val="single"/>
                <w:lang w:eastAsia="zh-CN"/>
              </w:rPr>
              <w:t xml:space="preserve">законодательством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Российской Федерации о налога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0"/>
              <w:ind w:left="34" w:firstLine="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5)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отсутствие у участника закупки - физического лица либо у руководителя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instrText xml:space="preserve">HYPERLINK consultantplus://offline/ref=26F2C7810F42DE61EA93AC027701610153E35D03C5A399716DA345C0D3A4E3439C892E434D319CE2G9c2L </w:instrTex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статьями 289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instrText xml:space="preserve">HYPERLINK consultantplus://offline/ref=26F2C7810F42DE61EA93AC027701610153E35D03C5A399716DA345C0D3A4E3439C892E404D35G9c0L </w:instrTex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290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instrText xml:space="preserve">HYPERLINK consultantplus://offline/ref=26F2C7810F42DE61EA93AC027701610153E35D03C5A399716DA345C0D3A4E3439C892E404D37G9c6L </w:instrTex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291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instrText xml:space="preserve">HYPERLINK consultantplus://offline/ref=26F2C7810F42DE61EA93AC027701610153E35D03C5A399716DA345C0D3A4E3439C892E404D38G9c2L </w:instrTex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291.1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0"/>
              <w:ind w:left="34" w:firstLine="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6)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instrText xml:space="preserve">HYPERLINK consultantplus://offline/ref=26F2C7810F42DE61EA93AC027701610153E25403C9A799716DA345C0D3A4E3439C892E404B32G9c4L </w:instrTex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статьей 19.28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Кодекса Российской Федерации об административных правонарушениях;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0"/>
              <w:ind w:left="34" w:firstLine="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7)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отсутствие между участником закупки и заказчиком конфликта интересов, под которым понимаются случаи, при которых руководитель заказчика,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член комиссии по осуществлению закупок, руководитель контрактной службы заказчика, контрактный управляющий состоят в браке с физическими лицами, являющимися выгодоприобретателями, единоличным исполнительным органом хозяйственного общества (директором, ген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 Под выгодоприобретателями для целей настоящей статьи понимаются физически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0"/>
              <w:ind w:left="34" w:firstLine="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8)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прямую или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0"/>
              <w:ind w:left="34" w:firstLine="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9)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отсутствие у участника закупки ограничений для участия в закупках, установленных законодательством Российской Федерации;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0"/>
              <w:ind w:left="34" w:firstLine="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 xml:space="preserve">10)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обладание участником закупки исключительными правами на результаты интеллектуальной деятельно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0"/>
              <w:ind w:left="34" w:firstLine="2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zh-CN"/>
              </w:rPr>
              <w:t xml:space="preserve">11)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  <w:lang w:eastAsia="zh-CN"/>
              </w:rPr>
              <w:t xml:space="preserve"> участник закупки не является иностранным агентом.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0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Исчерпывающий перечень документов, подтверждающих соответствие требованиям, установленным в соответствии с законодательством 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r>
              <w:t xml:space="preserve">-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32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Требование, предъявляемое к участникам закупки в соответствии с частью 1.1 статьи 31 Закона 44-ФЗ (при наличии такого требования)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pPr>
              <w:pStyle w:val="850"/>
              <w:ind w:left="34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Установлено требование об отсутствии в предусмотренном Законом 44-ФЗ реестре недобросовестных поставщиков (подрядчиков, исполнителей) информации об участнике закупки,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 том числе о лицах, информация о которых содержится в заявке на участие в закупке в соответствии с подпунктом "в" пункта 1 части 1 статьи 43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0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Информация о предоставлении преимуществ в соответствии со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instrText xml:space="preserve">HYPERLINK consultantplus://offline/ref=421A1418C37543BAD172B6B57A12D468ABC433323BD9F6E91CAE120F761DFCB3DC0CB89B28D0577F12D47BB2385F64AE40FD8C44441210e8H </w:instrTex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статьями 28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instrText xml:space="preserve">HYPERLINK consultantplus://offline/ref=421A1418C37543BAD172B6B57A12D468ABC433323BD9F6E91CAE120F761DFCB3DC0CB89B2BD95D7F12D47BB2385F64AE40FD8C44441210e8H </w:instrTex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44-ФЗ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8"/>
              <w:ind w:right="-5"/>
              <w:rPr>
                <w:rFonts w:ascii="Times New Roman" w:hAnsi="Times New Roman" w:cs="Times New Roman"/>
                <w:b w:val="0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i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tbl>
            <w:tblPr>
              <w:tblW w:w="6938" w:type="dxa"/>
              <w:tblInd w:w="37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5094"/>
              <w:gridCol w:w="1844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410"/>
              </w:trPr>
              <w:tc>
                <w:tcPr>
                  <w:tcW w:w="5094" w:type="dxa"/>
                  <w:vAlign w:val="center"/>
                  <w:textDirection w:val="lrTb"/>
                  <w:noWrap w:val="false"/>
                </w:tcPr>
                <w:p>
                  <w:pPr>
                    <w:pStyle w:val="85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Организация инвалидов (в соответствии со ст. 29 Федерального закона № 44-ФЗ)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</w:p>
              </w:tc>
              <w:tc>
                <w:tcPr>
                  <w:tcW w:w="1844" w:type="dxa"/>
                  <w:vAlign w:val="center"/>
                  <w:textDirection w:val="lrTb"/>
                  <w:noWrap w:val="false"/>
                </w:tcPr>
                <w:p>
                  <w:pPr>
                    <w:pStyle w:val="85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Не установлено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618"/>
              </w:trPr>
              <w:tc>
                <w:tcPr>
                  <w:tcW w:w="5094" w:type="dxa"/>
                  <w:vAlign w:val="center"/>
                  <w:textDirection w:val="lrTb"/>
                  <w:noWrap w:val="false"/>
                </w:tcPr>
                <w:p>
                  <w:pPr>
                    <w:pStyle w:val="85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Учреждениям и предприятиям уголовно-исполнительной системы (в соответствии со ст. 28 Федерального закона № 44-ФЗ)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</w:p>
              </w:tc>
              <w:tc>
                <w:tcPr>
                  <w:tcW w:w="1844" w:type="dxa"/>
                  <w:vAlign w:val="center"/>
                  <w:textDirection w:val="lrTb"/>
                  <w:noWrap w:val="false"/>
                </w:tcPr>
                <w:p>
                  <w:pPr>
                    <w:pStyle w:val="85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Не установлено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</w:p>
              </w:tc>
            </w:tr>
          </w:tbl>
          <w:p>
            <w:pPr>
              <w:pStyle w:val="858"/>
              <w:ind w:right="-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359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Информация о преимуществах участия в определении поставщика (подрядчика, исполнителя) в соответствии 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instrText xml:space="preserve">HYPERLINK consultantplus://offline/ref=9C76B7F0E8F60E82C2F70FEF1A9AF54212807A0768357B9FA9D0CB165718178D79E928A1AE7AA54C60D42347A39B7E5A43D5FFAE9585v2g8H </w:instrTex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ч. 3 ст. 30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Закона 44-ФЗ или требование, установленное в соответствии 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instrText xml:space="preserve">HYPERLINK consultantplus://offline/ref=9C76B7F0E8F60E82C2F70FEF1A9AF54212807A0768357B9FA9D0CB165718178D79E928A2AC7AAC413D8E3343EACC774647CAE1AD8B852AF3v3g9H </w:instrTex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ч. 5 ст. 30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Закона 44-ФЗ, с указанием в соответствии 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instrText xml:space="preserve">HYPERLINK consultantplus://offline/ref=9C76B7F0E8F60E82C2F70FEF1A9AF54212807A0768357B9FA9D0CB165718178D79E928A2AC7AAC40348E3343EACC774647CAE1AD8B852AF3v3g9H </w:instrTex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ч. 6 ст. 30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Закона 44-ФЗ объема привлечения к исполнению контрактов субподрядчиков, соисполнителей из числа субъектов малого предпринимательства, социально ориентированных некоммерческих организаций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Участникам закупки могут быть только субъекты малого предпринимательства, социально ориентированные некоммерческие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5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Информация о преимуществах, о запретах и об ограничениях допуска товаров,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проис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ходящих из иностранного государства или группы иностранных государств, работ, услуг, соответственно выполняемых, оказываемых иностранными лицами, в случае, если такие преимущества, запреты и ограничения установлены в соответствии со статьей 14 Закона 44-ФЗ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Преимущество в отношении товаров российского происхождения 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Постановление Правительства РФ от 23.12.2024 N 1875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5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Информация об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ответственности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За нарушение требований анти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монопольного законодательства Российской Федерации о запрете участия в ограничивающих конкуренцию соглашениях, осуществления ограничивающих конкуренцию согласованных действий предусмотрена ответственность в соответствии со ст. 14.32 КоАП РФ и ст. 178 УК РФ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1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Размер и порядок внесения денежных средств в качестве обеспечения заявки на участие в закупке, условия независимой гарантии (если требование обеспечения заявки установлено в соответствии со статьей 44 Зако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на 44-ФЗ), реквизиты счета, на котором в соответствии с законодательством Российской Федерации учитываются операции со средствами, поступающими заказчику, реквизиты счета для перечисления денежных средств в случае, предусмотренном ч. 13 ст. 44 Закона 44-ФЗ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pPr>
              <w:pStyle w:val="85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 установлено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29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Размер обеспе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чения исполнения контракта, гарантийных обязательств, порядок предоставления такого обеспечения, требования к такому обеспечению (если требование обеспечения исполнения контракта, гарантийных обязательств установлено в соответствии со ст. 96 Закона 44-ФЗ);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pPr>
              <w:pStyle w:val="850"/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Размер обеспечения исполнения Контракта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составляет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10%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от цены Контракта</w:t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585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8"/>
              <w:ind w:right="-5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</w:rPr>
              <w:t xml:space="preserve">Требования к обеспечению исполнения контракта и порядок предоставления обеспечения исполнения контракта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Исполнение контракта может обеспечиваться предоставлением независимой гарантии, выданной банком и иными лицами, указанными в ч. 1 ст. 45 Закона 44-ФЗ и соответствующей требованиям статьи 45 Федерального закона 44-ФЗ, или внесением ден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ежных средств на указанный заказчиком счет. Способ обеспечения исполнения контракта, срок действия независимой гарантии определяется в соответствии с требованиями Федерального закона 44-ФЗ участником закупки, с которым заключается контракт, самостоятельно.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Участник закупки, с которым заключается контракт по результатам определения поставщика (по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дрядчика, исполнителя) в соответствии с пунктом 1 части 1 статьи 30 Федерального закона 44-ФЗ, освобождается от предоставления обеспечения исполнения контракта, в случае предоставления таким участником закупки информации, содержащейся в реестре контрактов,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заключенных заказчиками, и подтверждающей исполнение таким участником (без учета правопреемства) в течение трех лет до даты подачи заявки на участие в закупке трех контрактов, исполненных без применения к такому участнику неустоек (штрафов, пеней). Такая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информация представляется участником закупки до заключения контракта в случаях.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 и документации о закупке.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 случае, если предложенные в заявке участника закупки цена, сумма цен единиц товара, работы, услуги снижены на двадцать пять и более процентов по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отношению к начальной (максимальной) цене контракта, начальной сумме цен единиц товара, работы, услуги, участник закупки, с которым заключается контракт, предоставляет обеспечение исполнения контракта с учетом положений статьи 37 Федерального закона 44-ФЗ.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 ходе исполнения контракта пост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авщик (подрядчик, исполнитель) 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Уменьшение размера обеспечения исполнения контракта производится пропорционально стоимости исполненных обязательств, приемка и оплата которых осуществлены в порядке и сроки, которые предусмотрены контрактом.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 случае, если обеспеч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ение исполнения контракта осуществляется путем предоставления независимой гарантии, требование заказчика об уплате денежных сумм по этой гарантии может быть предъявлено в размере не более размера обеспечения исполнения контракта, рассчитанного заказчиком 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а основании информации об исполнении контракта, размещенной в соответствующем реестре контрактов. В случае, если обеспечение исполнения контракта осуществляется путем внесения денежных средств на счет, указанный заказчиком, по заявлению поставщика (подрядч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ика, исполнителя) ему возвращаются заказчиком денежные средства в сумме, на которую уменьшен размер обеспечения исполнения контракта, рассчитанный заказчиком на основании информации об исполнении контракта, размещенной в соответствующем реестре контрактов.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Уменьшение размера обеспечения исполнения контракта осуществляется при условии отсутствия неисполненных поставщиком (подрядчиком, исполнителем) требований об уплате неустоек (штрафов, пеней), предъявленных заказчиком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 случае отз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ыва в соответствии с законодательством Российской Федерации у банка, предоставившего банковскую гарантию в качестве обеспечения исполнения контракта, лицензии на осуществление банковских операций предоставить новое обеспечение исполнения контракта не поздн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ее одного месяца со дня надлежащего уведомления заказчиком поставщика (подрядчика, исполнителя) о необходимости предоставить соответствующее обеспечение. Размер такого обеспечения может быть уменьшен в порядке и случаях, которые предусмотрены частями 7, 7.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1, 7.2 и 7.3 статьи 96 Федерального закона 44-ФЗ. За каждый день просрочки исполнения поставщиком (подрядчиком, исполнителем) обязательства, предусмотренного настоящей частью, начисляется пеня в размере, установленном ч. 7 ст. 34 Федерального закона 44-ФЗ.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Срок возврата заказчиком поставщику (подрядчику, исполнителю) денежных средств, внесенных в качестве обеспечения исполнения контракта – в течение 15 дней с даты исполнения поставщиком (подрядчиком, исполнителем) обязательств, предусмотренных контрактом.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       Обеспечении исполнения контракта не требуется в случае: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1) заключения контракта с участником закупки, который является казенным учреждением;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2) осуществления закупки услуги по предоставлению кредита;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85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3) заключения бюджетным учреждением, государственным, муниципальным унитарными предприятиями контракта, предметом которого является выдача независимой гарантии.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0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Платежные реквизиты для перечисления денежных средств в качестве обеспечения исполнения контракта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  <w14:ligatures w14:val="none"/>
              </w:rPr>
            </w:pPr>
            <w:r>
              <w:rPr>
                <w:sz w:val="23"/>
                <w:szCs w:val="23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Л./сч. 05401W00520, р/с 03212643000000013246, БИК 012202102, кор/с 40102810745370000024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ОКЦ № 1 ВВГУ Банка России//УФК по Нижегородской области, г. Нижний Новгород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; 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оле 22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код нормативного акта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платежного поручения - 0002</w:t>
            </w:r>
            <w:r>
              <w:rPr>
                <w:sz w:val="26"/>
                <w:szCs w:val="26"/>
                <w14:ligatures w14:val="none"/>
              </w:rPr>
            </w:r>
            <w:r>
              <w:rPr>
                <w:sz w:val="26"/>
                <w:szCs w:val="26"/>
                <w14:ligatures w14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0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Реквизиты счета для перечисления денежных средств в случае, предусмотренном частью 13 статьи 44 Закона № 44-ФЗ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8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Информация о банковском сопровождении контракта в соответствии со статьей 35 Закона 44-ФЗ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 установлено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8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Информация о возможности заказчика заключить контракты, указанные в части 10 статьи 34 Закона 44-ФЗ, с несколькими участниками закупки с указанием количества указанных контрактов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 установлено</w:t>
            </w:r>
            <w:r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8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Информация о возможности одностороннего отказа от исполнения контракта в соответствии со статьей 95 Закона 44-ФЗ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Предусмотрено. В случае существенного нарушения обязательств по контракту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8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Дата и время окончания срока подачи заявок на участие в закупке. Такая дата не может приходиться на нерабочий день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15.10.2026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 10.00 (время московское)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8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Дата подведения итогов определения поставщика (подрядчика, исполнителя)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16.10.2026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0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Дата проведения процедуры подачи предложений о цене контракта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15.10.2026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(через два часа с момента окончания срока подачи заявок на участие в закупке)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81"/>
              <w:ind w:right="-5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</w:rPr>
              <w:t xml:space="preserve">КБК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321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0412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5440190020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244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37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8"/>
              <w:ind w:right="-5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</w:rPr>
              <w:t xml:space="preserve">ОКПД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lang w:eastAsia="en-US"/>
              </w:rPr>
              <w:t xml:space="preserve">32.99.11.110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-  Противогазы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384"/>
        </w:trPr>
        <w:tc>
          <w:tcPr>
            <w:tcW w:w="425" w:type="dxa"/>
            <w:vAlign w:val="center"/>
            <w:textDirection w:val="lrTb"/>
            <w:noWrap w:val="false"/>
          </w:tcPr>
          <w:p>
            <w:pPr>
              <w:pStyle w:val="858"/>
              <w:numPr>
                <w:ilvl w:val="0"/>
                <w:numId w:val="3"/>
              </w:numPr>
              <w:ind w:right="-5" w:hanging="82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3049" w:type="dxa"/>
            <w:vAlign w:val="center"/>
            <w:textDirection w:val="lrTb"/>
            <w:noWrap w:val="false"/>
          </w:tcPr>
          <w:p>
            <w:pPr>
              <w:pStyle w:val="858"/>
              <w:ind w:right="-5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</w:rPr>
              <w:t xml:space="preserve">Объект закупки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</w:p>
        </w:tc>
        <w:tc>
          <w:tcPr>
            <w:tcW w:w="7442" w:type="dxa"/>
            <w:vAlign w:val="center"/>
            <w:textDirection w:val="lrTb"/>
            <w:noWrap w:val="false"/>
          </w:tcPr>
          <w:tbl>
            <w:tblPr>
              <w:tblpPr w:horzAnchor="margin" w:tblpXSpec="left" w:vertAnchor="margin" w:tblpY="390" w:leftFromText="180" w:topFromText="0" w:rightFromText="180" w:bottomFromText="0"/>
              <w:tblW w:w="6938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2862"/>
              <w:gridCol w:w="4076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360"/>
              </w:trPr>
              <w:tc>
                <w:tcPr>
                  <w:tcW w:w="2862" w:type="dxa"/>
                  <w:vAlign w:val="center"/>
                  <w:textDirection w:val="lrTb"/>
                  <w:noWrap w:val="false"/>
                </w:tcPr>
                <w:p>
                  <w:pPr>
                    <w:pStyle w:val="85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Код по ОКПД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</w:p>
              </w:tc>
              <w:tc>
                <w:tcPr>
                  <w:tcW w:w="4076" w:type="dxa"/>
                  <w:vAlign w:val="top"/>
                  <w:textDirection w:val="lrTb"/>
                  <w:noWrap w:val="false"/>
                </w:tcPr>
                <w:p>
                  <w:pPr>
                    <w:jc w:val="center"/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eastAsia="Times New Roman" w:cs="Times New Roman"/>
                      <w:highlight w:val="none"/>
                      <w:lang w:eastAsia="en-US"/>
                    </w:rPr>
                    <w:t xml:space="preserve">32.99.11.110</w:t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  <w14:ligatures w14:val="none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  <w14:ligatures w14:val="none"/>
                    </w:rPr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360"/>
              </w:trPr>
              <w:tc>
                <w:tcPr>
                  <w:tcW w:w="2862" w:type="dxa"/>
                  <w:vAlign w:val="center"/>
                  <w:textDirection w:val="lrTb"/>
                  <w:noWrap w:val="false"/>
                </w:tcPr>
                <w:p>
                  <w:pPr>
                    <w:pStyle w:val="85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Наименование товара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</w:p>
              </w:tc>
              <w:tc>
                <w:tcPr>
                  <w:tcW w:w="4076" w:type="dxa"/>
                  <w:vAlign w:val="top"/>
                  <w:textDirection w:val="lrTb"/>
                  <w:noWrap w:val="false"/>
                </w:tcPr>
                <w:p>
                  <w:pPr>
                    <w:pStyle w:val="851"/>
                    <w:spacing w:before="0" w:after="0"/>
                    <w:rPr>
                      <w:rFonts w:ascii="Times New Roman" w:hAnsi="Times New Roman" w:eastAsia="Times New Roman" w:cs="Times New Roman"/>
                      <w:color w:val="000000" w:themeColor="text1"/>
                      <w:sz w:val="28"/>
                      <w:szCs w:val="28"/>
                      <w:lang w:val="ru-RU"/>
                      <w14:ligatures w14:val="none"/>
                    </w:rPr>
                  </w:pPr>
                  <w:r>
                    <w:rPr>
                      <w:rFonts w:ascii="Times New Roman" w:hAnsi="Times New Roman" w:eastAsia="Times New Roman" w:cs="Times New Roman"/>
                      <w:iCs/>
                      <w:color w:val="000000" w:themeColor="text1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eastAsia="Times New Roman" w:cs="Times New Roman"/>
                      <w:iCs/>
                      <w:color w:val="000000" w:themeColor="text1"/>
                      <w:sz w:val="24"/>
                      <w:szCs w:val="24"/>
                      <w:lang w:val="ru-RU"/>
                    </w:rPr>
                    <w:t xml:space="preserve">П</w:t>
                  </w:r>
                  <w:r>
                    <w:rPr>
                      <w:rFonts w:ascii="Times New Roman" w:hAnsi="Times New Roman" w:eastAsia="Times New Roman" w:cs="Times New Roman"/>
                      <w:iCs/>
                      <w:color w:val="000000" w:themeColor="text1"/>
                      <w:sz w:val="24"/>
                      <w:szCs w:val="24"/>
                      <w:lang w:val="ru-RU"/>
                    </w:rPr>
                    <w:t xml:space="preserve">остав</w:t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  <w:lang w:val="ru-RU"/>
                    </w:rPr>
                    <w:t xml:space="preserve">к</w:t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  <w:lang w:val="ru-RU"/>
                    </w:rPr>
                    <w:t xml:space="preserve">а</w:t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  <w:lang w:val="ru-RU"/>
                    </w:rPr>
                    <w:t xml:space="preserve">материальных запасов для нужд гражданской обороны (противогазов)</w:t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8"/>
                      <w:szCs w:val="28"/>
                      <w:lang w:val="ru-RU"/>
                      <w14:ligatures w14:val="none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8"/>
                      <w:szCs w:val="28"/>
                      <w:lang w:val="ru-RU"/>
                      <w14:ligatures w14:val="none"/>
                    </w:rPr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360"/>
              </w:trPr>
              <w:tc>
                <w:tcPr>
                  <w:tcW w:w="2862" w:type="dxa"/>
                  <w:vAlign w:val="center"/>
                  <w:textDirection w:val="lrTb"/>
                  <w:noWrap w:val="false"/>
                </w:tcPr>
                <w:p>
                  <w:pPr>
                    <w:pStyle w:val="85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Единица измерения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</w:p>
              </w:tc>
              <w:tc>
                <w:tcPr>
                  <w:tcW w:w="4076" w:type="dxa"/>
                  <w:vAlign w:val="top"/>
                  <w:textDirection w:val="lrTb"/>
                  <w:noWrap w:val="false"/>
                </w:tcPr>
                <w:p>
                  <w:pPr>
                    <w:jc w:val="center"/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Штука</w:t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  <w14:ligatures w14:val="none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  <w14:ligatures w14:val="none"/>
                    </w:rPr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360"/>
              </w:trPr>
              <w:tc>
                <w:tcPr>
                  <w:tcW w:w="2862" w:type="dxa"/>
                  <w:vAlign w:val="center"/>
                  <w:textDirection w:val="lrTb"/>
                  <w:noWrap w:val="false"/>
                </w:tcPr>
                <w:p>
                  <w:pPr>
                    <w:pStyle w:val="85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количество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</w:p>
              </w:tc>
              <w:tc>
                <w:tcPr>
                  <w:tcW w:w="4076" w:type="dxa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50 штук</w:t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  <w14:ligatures w14:val="none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  <w14:ligatures w14:val="none"/>
                    </w:rPr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360"/>
              </w:trPr>
              <w:tc>
                <w:tcPr>
                  <w:tcW w:w="2862" w:type="dxa"/>
                  <w:vAlign w:val="center"/>
                  <w:textDirection w:val="lrTb"/>
                  <w:noWrap w:val="false"/>
                </w:tcPr>
                <w:p>
                  <w:pPr>
                    <w:pStyle w:val="85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Цена за единицу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r>
                </w:p>
              </w:tc>
              <w:tc>
                <w:tcPr>
                  <w:tcW w:w="4076" w:type="dxa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5 000 рублей</w:t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  <w14:ligatures w14:val="none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  <w14:ligatures w14:val="none"/>
                    </w:rPr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360"/>
              </w:trPr>
              <w:tc>
                <w:tcPr>
                  <w:tcW w:w="2862" w:type="dxa"/>
                  <w:vAlign w:val="center"/>
                  <w:textDirection w:val="lrTb"/>
                  <w:noWrap w:val="false"/>
                </w:tcPr>
                <w:p>
                  <w:pP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Стоимость </w:t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  <w14:ligatures w14:val="none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  <w14:ligatures w14:val="none"/>
                    </w:rPr>
                  </w:r>
                </w:p>
              </w:tc>
              <w:tc>
                <w:tcPr>
                  <w:tcW w:w="4076" w:type="dxa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250 000</w:t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</w:rPr>
                    <w:t xml:space="preserve">рублей</w:t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  <w14:ligatures w14:val="none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 w:themeColor="text1"/>
                      <w:sz w:val="24"/>
                      <w:szCs w:val="24"/>
                      <w14:ligatures w14:val="none"/>
                    </w:rPr>
                  </w:r>
                </w:p>
              </w:tc>
            </w:tr>
          </w:tbl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ligatures w14:val="none"/>
              </w:rPr>
            </w:r>
          </w:p>
        </w:tc>
      </w:tr>
    </w:tbl>
    <w:p>
      <w:pPr>
        <w:pStyle w:val="856"/>
        <w:jc w:val="both"/>
        <w:spacing w:before="0" w:line="209" w:lineRule="auto"/>
        <w:tabs>
          <w:tab w:val="left" w:pos="7158" w:leader="none"/>
        </w:tabs>
        <w:rPr>
          <w:rFonts w:ascii="Times New Roman" w:hAnsi="Times New Roman" w:cs="Times New Roman"/>
          <w:color w:val="000000" w:themeColor="text1"/>
          <w:sz w:val="24"/>
          <w:szCs w:val="24"/>
        </w:rPr>
        <w:outlineLvl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СОГЛАСОВАНО: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85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____________        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85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                           (подпись)                 (дата)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85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. ____________        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85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                              (подпись)                 (дата)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85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_____________.   ____________        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85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                              (подпись)                 (дата)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sectPr>
      <w:footnotePr/>
      <w:endnotePr/>
      <w:type w:val="nextPage"/>
      <w:pgSz w:w="11906" w:h="16838" w:orient="portrait"/>
      <w:pgMar w:top="709" w:right="851" w:bottom="28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00000000000000000"/>
  </w:font>
  <w:font w:name="Symbol">
    <w:panose1 w:val="05050102010706020507"/>
  </w:font>
  <w:font w:name="SimSun">
    <w:panose1 w:val="02010600030101010101"/>
  </w:font>
  <w:font w:name="Tahoma">
    <w:panose1 w:val="020B0604030504040204"/>
  </w:font>
  <w:font w:name="Courier New">
    <w:panose1 w:val="02070309020205020404"/>
  </w:font>
  <w:font w:name="Verdana">
    <w:panose1 w:val="020B060403050404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0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35" w:hanging="360"/>
        <w:tabs>
          <w:tab w:val="num" w:pos="1435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55" w:hanging="360"/>
        <w:tabs>
          <w:tab w:val="num" w:pos="2155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75" w:hanging="360"/>
        <w:tabs>
          <w:tab w:val="num" w:pos="2875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95" w:hanging="360"/>
        <w:tabs>
          <w:tab w:val="num" w:pos="3595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15" w:hanging="360"/>
        <w:tabs>
          <w:tab w:val="num" w:pos="4315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35" w:hanging="360"/>
        <w:tabs>
          <w:tab w:val="num" w:pos="5035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55" w:hanging="360"/>
        <w:tabs>
          <w:tab w:val="num" w:pos="5755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75" w:hanging="360"/>
        <w:tabs>
          <w:tab w:val="num" w:pos="6475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95" w:hanging="360"/>
        <w:tabs>
          <w:tab w:val="num" w:pos="7195" w:leader="none"/>
        </w:tabs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90" w:hanging="890"/>
        <w:tabs>
          <w:tab w:val="num" w:pos="10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7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4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80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6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6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520" w:hanging="216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0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5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2">
    <w:name w:val="Heading 1"/>
    <w:basedOn w:val="850"/>
    <w:next w:val="850"/>
    <w:link w:val="67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3">
    <w:name w:val="Heading 1 Char"/>
    <w:link w:val="672"/>
    <w:uiPriority w:val="9"/>
    <w:rPr>
      <w:rFonts w:ascii="Arial" w:hAnsi="Arial" w:eastAsia="Arial" w:cs="Arial"/>
      <w:sz w:val="40"/>
      <w:szCs w:val="40"/>
    </w:rPr>
  </w:style>
  <w:style w:type="paragraph" w:styleId="674">
    <w:name w:val="Heading 2"/>
    <w:basedOn w:val="850"/>
    <w:next w:val="850"/>
    <w:link w:val="67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5">
    <w:name w:val="Heading 2 Char"/>
    <w:link w:val="674"/>
    <w:uiPriority w:val="9"/>
    <w:rPr>
      <w:rFonts w:ascii="Arial" w:hAnsi="Arial" w:eastAsia="Arial" w:cs="Arial"/>
      <w:sz w:val="34"/>
    </w:rPr>
  </w:style>
  <w:style w:type="paragraph" w:styleId="676">
    <w:name w:val="Heading 3"/>
    <w:basedOn w:val="850"/>
    <w:next w:val="850"/>
    <w:link w:val="67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7">
    <w:name w:val="Heading 3 Char"/>
    <w:link w:val="676"/>
    <w:uiPriority w:val="9"/>
    <w:rPr>
      <w:rFonts w:ascii="Arial" w:hAnsi="Arial" w:eastAsia="Arial" w:cs="Arial"/>
      <w:sz w:val="30"/>
      <w:szCs w:val="30"/>
    </w:rPr>
  </w:style>
  <w:style w:type="paragraph" w:styleId="678">
    <w:name w:val="Heading 4"/>
    <w:basedOn w:val="850"/>
    <w:next w:val="850"/>
    <w:link w:val="67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9">
    <w:name w:val="Heading 4 Char"/>
    <w:link w:val="678"/>
    <w:uiPriority w:val="9"/>
    <w:rPr>
      <w:rFonts w:ascii="Arial" w:hAnsi="Arial" w:eastAsia="Arial" w:cs="Arial"/>
      <w:b/>
      <w:bCs/>
      <w:sz w:val="26"/>
      <w:szCs w:val="26"/>
    </w:rPr>
  </w:style>
  <w:style w:type="paragraph" w:styleId="680">
    <w:name w:val="Heading 5"/>
    <w:basedOn w:val="850"/>
    <w:next w:val="850"/>
    <w:link w:val="68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1">
    <w:name w:val="Heading 5 Char"/>
    <w:link w:val="680"/>
    <w:uiPriority w:val="9"/>
    <w:rPr>
      <w:rFonts w:ascii="Arial" w:hAnsi="Arial" w:eastAsia="Arial" w:cs="Arial"/>
      <w:b/>
      <w:bCs/>
      <w:sz w:val="24"/>
      <w:szCs w:val="24"/>
    </w:rPr>
  </w:style>
  <w:style w:type="paragraph" w:styleId="682">
    <w:name w:val="Heading 6"/>
    <w:basedOn w:val="850"/>
    <w:next w:val="850"/>
    <w:link w:val="68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3">
    <w:name w:val="Heading 6 Char"/>
    <w:link w:val="682"/>
    <w:uiPriority w:val="9"/>
    <w:rPr>
      <w:rFonts w:ascii="Arial" w:hAnsi="Arial" w:eastAsia="Arial" w:cs="Arial"/>
      <w:b/>
      <w:bCs/>
      <w:sz w:val="22"/>
      <w:szCs w:val="22"/>
    </w:rPr>
  </w:style>
  <w:style w:type="paragraph" w:styleId="684">
    <w:name w:val="Heading 7"/>
    <w:basedOn w:val="850"/>
    <w:next w:val="850"/>
    <w:link w:val="68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5">
    <w:name w:val="Heading 7 Char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6">
    <w:name w:val="Heading 8"/>
    <w:basedOn w:val="850"/>
    <w:next w:val="850"/>
    <w:link w:val="68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7">
    <w:name w:val="Heading 8 Char"/>
    <w:link w:val="686"/>
    <w:uiPriority w:val="9"/>
    <w:rPr>
      <w:rFonts w:ascii="Arial" w:hAnsi="Arial" w:eastAsia="Arial" w:cs="Arial"/>
      <w:i/>
      <w:iCs/>
      <w:sz w:val="22"/>
      <w:szCs w:val="22"/>
    </w:rPr>
  </w:style>
  <w:style w:type="paragraph" w:styleId="688">
    <w:name w:val="Heading 9"/>
    <w:basedOn w:val="850"/>
    <w:next w:val="850"/>
    <w:link w:val="68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>
    <w:name w:val="Heading 9 Char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690">
    <w:name w:val="List Paragraph"/>
    <w:basedOn w:val="850"/>
    <w:uiPriority w:val="34"/>
    <w:qFormat/>
    <w:pPr>
      <w:contextualSpacing/>
      <w:ind w:left="720"/>
    </w:pPr>
  </w:style>
  <w:style w:type="paragraph" w:styleId="691">
    <w:name w:val="No Spacing"/>
    <w:uiPriority w:val="1"/>
    <w:qFormat/>
    <w:pPr>
      <w:spacing w:before="0" w:after="0" w:line="240" w:lineRule="auto"/>
    </w:pPr>
  </w:style>
  <w:style w:type="paragraph" w:styleId="692">
    <w:name w:val="Title"/>
    <w:basedOn w:val="850"/>
    <w:next w:val="850"/>
    <w:link w:val="69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3">
    <w:name w:val="Title Char"/>
    <w:link w:val="692"/>
    <w:uiPriority w:val="10"/>
    <w:rPr>
      <w:sz w:val="48"/>
      <w:szCs w:val="48"/>
    </w:rPr>
  </w:style>
  <w:style w:type="paragraph" w:styleId="694">
    <w:name w:val="Subtitle"/>
    <w:basedOn w:val="850"/>
    <w:next w:val="850"/>
    <w:link w:val="695"/>
    <w:uiPriority w:val="11"/>
    <w:qFormat/>
    <w:pPr>
      <w:spacing w:before="200" w:after="200"/>
    </w:pPr>
    <w:rPr>
      <w:sz w:val="24"/>
      <w:szCs w:val="24"/>
    </w:rPr>
  </w:style>
  <w:style w:type="character" w:styleId="695">
    <w:name w:val="Subtitle Char"/>
    <w:link w:val="694"/>
    <w:uiPriority w:val="11"/>
    <w:rPr>
      <w:sz w:val="24"/>
      <w:szCs w:val="24"/>
    </w:rPr>
  </w:style>
  <w:style w:type="paragraph" w:styleId="696">
    <w:name w:val="Quote"/>
    <w:basedOn w:val="850"/>
    <w:next w:val="850"/>
    <w:link w:val="697"/>
    <w:uiPriority w:val="29"/>
    <w:qFormat/>
    <w:pPr>
      <w:ind w:left="720" w:right="720"/>
    </w:pPr>
    <w:rPr>
      <w:i/>
    </w:rPr>
  </w:style>
  <w:style w:type="character" w:styleId="697">
    <w:name w:val="Quote Char"/>
    <w:link w:val="696"/>
    <w:uiPriority w:val="29"/>
    <w:rPr>
      <w:i/>
    </w:rPr>
  </w:style>
  <w:style w:type="paragraph" w:styleId="698">
    <w:name w:val="Intense Quote"/>
    <w:basedOn w:val="850"/>
    <w:next w:val="850"/>
    <w:link w:val="69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9">
    <w:name w:val="Intense Quote Char"/>
    <w:link w:val="698"/>
    <w:uiPriority w:val="30"/>
    <w:rPr>
      <w:i/>
    </w:rPr>
  </w:style>
  <w:style w:type="paragraph" w:styleId="700">
    <w:name w:val="Header"/>
    <w:basedOn w:val="850"/>
    <w:link w:val="7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1">
    <w:name w:val="Header Char"/>
    <w:link w:val="700"/>
    <w:uiPriority w:val="99"/>
  </w:style>
  <w:style w:type="paragraph" w:styleId="702">
    <w:name w:val="Footer"/>
    <w:basedOn w:val="850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Footer Char"/>
    <w:link w:val="702"/>
    <w:uiPriority w:val="99"/>
  </w:style>
  <w:style w:type="paragraph" w:styleId="704">
    <w:name w:val="Caption"/>
    <w:basedOn w:val="850"/>
    <w:next w:val="85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5">
    <w:name w:val="Caption Char"/>
    <w:basedOn w:val="704"/>
    <w:link w:val="702"/>
    <w:uiPriority w:val="99"/>
  </w:style>
  <w:style w:type="table" w:styleId="70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2">
    <w:name w:val="Hyperlink"/>
    <w:uiPriority w:val="99"/>
    <w:unhideWhenUsed/>
    <w:rPr>
      <w:color w:val="0000ff" w:themeColor="hyperlink"/>
      <w:u w:val="single"/>
    </w:rPr>
  </w:style>
  <w:style w:type="paragraph" w:styleId="833">
    <w:name w:val="footnote text"/>
    <w:basedOn w:val="850"/>
    <w:link w:val="834"/>
    <w:uiPriority w:val="99"/>
    <w:semiHidden/>
    <w:unhideWhenUsed/>
    <w:pPr>
      <w:spacing w:after="40" w:line="240" w:lineRule="auto"/>
    </w:pPr>
    <w:rPr>
      <w:sz w:val="18"/>
    </w:rPr>
  </w:style>
  <w:style w:type="character" w:styleId="834">
    <w:name w:val="Footnote Text Char"/>
    <w:link w:val="833"/>
    <w:uiPriority w:val="99"/>
    <w:rPr>
      <w:sz w:val="18"/>
    </w:rPr>
  </w:style>
  <w:style w:type="character" w:styleId="835">
    <w:name w:val="footnote reference"/>
    <w:uiPriority w:val="99"/>
    <w:unhideWhenUsed/>
    <w:rPr>
      <w:vertAlign w:val="superscript"/>
    </w:rPr>
  </w:style>
  <w:style w:type="paragraph" w:styleId="836">
    <w:name w:val="endnote text"/>
    <w:basedOn w:val="850"/>
    <w:link w:val="837"/>
    <w:uiPriority w:val="99"/>
    <w:semiHidden/>
    <w:unhideWhenUsed/>
    <w:pPr>
      <w:spacing w:after="0" w:line="240" w:lineRule="auto"/>
    </w:pPr>
    <w:rPr>
      <w:sz w:val="20"/>
    </w:rPr>
  </w:style>
  <w:style w:type="character" w:styleId="837">
    <w:name w:val="Endnote Text Char"/>
    <w:link w:val="836"/>
    <w:uiPriority w:val="99"/>
    <w:rPr>
      <w:sz w:val="20"/>
    </w:rPr>
  </w:style>
  <w:style w:type="character" w:styleId="838">
    <w:name w:val="endnote reference"/>
    <w:uiPriority w:val="99"/>
    <w:semiHidden/>
    <w:unhideWhenUsed/>
    <w:rPr>
      <w:vertAlign w:val="superscript"/>
    </w:rPr>
  </w:style>
  <w:style w:type="paragraph" w:styleId="839">
    <w:name w:val="toc 1"/>
    <w:basedOn w:val="850"/>
    <w:next w:val="850"/>
    <w:uiPriority w:val="39"/>
    <w:unhideWhenUsed/>
    <w:pPr>
      <w:ind w:left="0" w:right="0" w:firstLine="0"/>
      <w:spacing w:after="57"/>
    </w:pPr>
  </w:style>
  <w:style w:type="paragraph" w:styleId="840">
    <w:name w:val="toc 2"/>
    <w:basedOn w:val="850"/>
    <w:next w:val="850"/>
    <w:uiPriority w:val="39"/>
    <w:unhideWhenUsed/>
    <w:pPr>
      <w:ind w:left="283" w:right="0" w:firstLine="0"/>
      <w:spacing w:after="57"/>
    </w:pPr>
  </w:style>
  <w:style w:type="paragraph" w:styleId="841">
    <w:name w:val="toc 3"/>
    <w:basedOn w:val="850"/>
    <w:next w:val="850"/>
    <w:uiPriority w:val="39"/>
    <w:unhideWhenUsed/>
    <w:pPr>
      <w:ind w:left="567" w:right="0" w:firstLine="0"/>
      <w:spacing w:after="57"/>
    </w:pPr>
  </w:style>
  <w:style w:type="paragraph" w:styleId="842">
    <w:name w:val="toc 4"/>
    <w:basedOn w:val="850"/>
    <w:next w:val="850"/>
    <w:uiPriority w:val="39"/>
    <w:unhideWhenUsed/>
    <w:pPr>
      <w:ind w:left="850" w:right="0" w:firstLine="0"/>
      <w:spacing w:after="57"/>
    </w:pPr>
  </w:style>
  <w:style w:type="paragraph" w:styleId="843">
    <w:name w:val="toc 5"/>
    <w:basedOn w:val="850"/>
    <w:next w:val="850"/>
    <w:uiPriority w:val="39"/>
    <w:unhideWhenUsed/>
    <w:pPr>
      <w:ind w:left="1134" w:right="0" w:firstLine="0"/>
      <w:spacing w:after="57"/>
    </w:pPr>
  </w:style>
  <w:style w:type="paragraph" w:styleId="844">
    <w:name w:val="toc 6"/>
    <w:basedOn w:val="850"/>
    <w:next w:val="850"/>
    <w:uiPriority w:val="39"/>
    <w:unhideWhenUsed/>
    <w:pPr>
      <w:ind w:left="1417" w:right="0" w:firstLine="0"/>
      <w:spacing w:after="57"/>
    </w:pPr>
  </w:style>
  <w:style w:type="paragraph" w:styleId="845">
    <w:name w:val="toc 7"/>
    <w:basedOn w:val="850"/>
    <w:next w:val="850"/>
    <w:uiPriority w:val="39"/>
    <w:unhideWhenUsed/>
    <w:pPr>
      <w:ind w:left="1701" w:right="0" w:firstLine="0"/>
      <w:spacing w:after="57"/>
    </w:pPr>
  </w:style>
  <w:style w:type="paragraph" w:styleId="846">
    <w:name w:val="toc 8"/>
    <w:basedOn w:val="850"/>
    <w:next w:val="850"/>
    <w:uiPriority w:val="39"/>
    <w:unhideWhenUsed/>
    <w:pPr>
      <w:ind w:left="1984" w:right="0" w:firstLine="0"/>
      <w:spacing w:after="57"/>
    </w:pPr>
  </w:style>
  <w:style w:type="paragraph" w:styleId="847">
    <w:name w:val="toc 9"/>
    <w:basedOn w:val="850"/>
    <w:next w:val="850"/>
    <w:uiPriority w:val="39"/>
    <w:unhideWhenUsed/>
    <w:pPr>
      <w:ind w:left="2268" w:right="0" w:firstLine="0"/>
      <w:spacing w:after="57"/>
    </w:pPr>
  </w:style>
  <w:style w:type="paragraph" w:styleId="848">
    <w:name w:val="TOC Heading"/>
    <w:uiPriority w:val="39"/>
    <w:unhideWhenUsed/>
  </w:style>
  <w:style w:type="paragraph" w:styleId="849">
    <w:name w:val="table of figures"/>
    <w:basedOn w:val="850"/>
    <w:next w:val="850"/>
    <w:uiPriority w:val="99"/>
    <w:unhideWhenUsed/>
    <w:pPr>
      <w:spacing w:after="0" w:afterAutospacing="0"/>
    </w:pPr>
  </w:style>
  <w:style w:type="paragraph" w:styleId="850" w:default="1">
    <w:name w:val="Normal"/>
    <w:next w:val="850"/>
    <w:link w:val="850"/>
    <w:qFormat/>
    <w:rPr>
      <w:sz w:val="24"/>
      <w:szCs w:val="24"/>
      <w:lang w:val="ru-RU" w:eastAsia="ru-RU" w:bidi="ar-SA"/>
    </w:rPr>
  </w:style>
  <w:style w:type="paragraph" w:styleId="851">
    <w:name w:val="Заголовок 1"/>
    <w:basedOn w:val="850"/>
    <w:next w:val="850"/>
    <w:link w:val="872"/>
    <w:qFormat/>
    <w:pPr>
      <w:jc w:val="center"/>
      <w:keepNext/>
      <w:spacing w:before="240" w:after="60"/>
      <w:outlineLvl w:val="0"/>
    </w:pPr>
    <w:rPr>
      <w:rFonts w:eastAsia="Calibri"/>
      <w:b/>
      <w:bCs/>
      <w:sz w:val="36"/>
      <w:szCs w:val="36"/>
      <w:lang w:val="en-US" w:eastAsia="zh-CN"/>
    </w:rPr>
  </w:style>
  <w:style w:type="character" w:styleId="852">
    <w:name w:val="Основной шрифт абзаца"/>
    <w:next w:val="852"/>
    <w:link w:val="850"/>
    <w:semiHidden/>
  </w:style>
  <w:style w:type="table" w:styleId="853">
    <w:name w:val="Обычная таблица"/>
    <w:next w:val="853"/>
    <w:link w:val="850"/>
    <w:semiHidden/>
    <w:tblPr/>
  </w:style>
  <w:style w:type="numbering" w:styleId="854">
    <w:name w:val="Нет списка"/>
    <w:next w:val="854"/>
    <w:link w:val="850"/>
    <w:semiHidden/>
  </w:style>
  <w:style w:type="paragraph" w:styleId="855">
    <w:name w:val="ConsPlusNormal"/>
    <w:next w:val="855"/>
    <w:link w:val="850"/>
    <w:pPr>
      <w:ind w:firstLine="720"/>
    </w:pPr>
    <w:rPr>
      <w:rFonts w:ascii="Arial" w:hAnsi="Arial" w:cs="Arial"/>
      <w:sz w:val="24"/>
      <w:szCs w:val="24"/>
      <w:lang w:val="ru-RU" w:eastAsia="ru-RU" w:bidi="ar-SA"/>
    </w:rPr>
  </w:style>
  <w:style w:type="paragraph" w:styleId="856">
    <w:name w:val="Iacaaiea"/>
    <w:basedOn w:val="850"/>
    <w:next w:val="856"/>
    <w:link w:val="850"/>
    <w:pPr>
      <w:jc w:val="center"/>
      <w:spacing w:before="120" w:line="360" w:lineRule="atLeast"/>
      <w:tabs>
        <w:tab w:val="left" w:pos="426" w:leader="none"/>
      </w:tabs>
    </w:pPr>
    <w:rPr>
      <w:b/>
      <w:bCs/>
      <w:sz w:val="22"/>
      <w:szCs w:val="22"/>
    </w:rPr>
  </w:style>
  <w:style w:type="paragraph" w:styleId="857">
    <w:name w:val=" Знак Знак Знак1 Знак"/>
    <w:basedOn w:val="850"/>
    <w:next w:val="857"/>
    <w:link w:val="850"/>
    <w:pPr>
      <w:spacing w:after="160" w:line="240" w:lineRule="exact"/>
    </w:pPr>
    <w:rPr>
      <w:rFonts w:ascii="Verdana" w:hAnsi="Verdana"/>
      <w:lang w:val="en-US" w:eastAsia="en-US"/>
    </w:rPr>
  </w:style>
  <w:style w:type="paragraph" w:styleId="858">
    <w:name w:val="Название"/>
    <w:basedOn w:val="850"/>
    <w:next w:val="858"/>
    <w:link w:val="850"/>
    <w:qFormat/>
    <w:pPr>
      <w:jc w:val="center"/>
    </w:pPr>
    <w:rPr>
      <w:b/>
      <w:bCs/>
    </w:rPr>
  </w:style>
  <w:style w:type="table" w:styleId="859">
    <w:name w:val="Сетка таблицы"/>
    <w:basedOn w:val="853"/>
    <w:next w:val="859"/>
    <w:link w:val="850"/>
    <w:tblPr/>
  </w:style>
  <w:style w:type="paragraph" w:styleId="860">
    <w:name w:val="ConsPlusNonformat"/>
    <w:next w:val="860"/>
    <w:link w:val="850"/>
    <w:rPr>
      <w:rFonts w:ascii="Courier New" w:hAnsi="Courier New" w:cs="Courier New"/>
      <w:lang w:val="ru-RU" w:eastAsia="ru-RU" w:bidi="ar-SA"/>
    </w:rPr>
  </w:style>
  <w:style w:type="paragraph" w:styleId="861">
    <w:name w:val="Обычный (веб)"/>
    <w:basedOn w:val="850"/>
    <w:next w:val="861"/>
    <w:link w:val="850"/>
    <w:pPr>
      <w:spacing w:before="100" w:beforeAutospacing="1" w:after="100" w:afterAutospacing="1"/>
    </w:pPr>
  </w:style>
  <w:style w:type="paragraph" w:styleId="862">
    <w:name w:val="Текст выноски"/>
    <w:basedOn w:val="850"/>
    <w:next w:val="862"/>
    <w:link w:val="850"/>
    <w:semiHidden/>
    <w:rPr>
      <w:rFonts w:ascii="Tahoma" w:hAnsi="Tahoma" w:cs="Tahoma"/>
      <w:sz w:val="16"/>
      <w:szCs w:val="16"/>
    </w:rPr>
  </w:style>
  <w:style w:type="paragraph" w:styleId="863">
    <w:name w:val="Стиль"/>
    <w:next w:val="863"/>
    <w:link w:val="850"/>
    <w:pPr>
      <w:widowControl w:val="off"/>
    </w:pPr>
    <w:rPr>
      <w:sz w:val="24"/>
      <w:szCs w:val="24"/>
      <w:lang w:val="ru-RU" w:eastAsia="ru-RU" w:bidi="ar-SA"/>
    </w:rPr>
  </w:style>
  <w:style w:type="paragraph" w:styleId="864">
    <w:name w:val=" Знак Знак Char Char"/>
    <w:basedOn w:val="850"/>
    <w:next w:val="864"/>
    <w:link w:val="850"/>
    <w:pPr>
      <w:jc w:val="both"/>
      <w:widowControl w:val="off"/>
    </w:pPr>
    <w:rPr>
      <w:rFonts w:ascii="Arial" w:hAnsi="Arial" w:eastAsia="SimSun" w:cs="Arial"/>
      <w:sz w:val="21"/>
      <w:lang w:val="en-US" w:eastAsia="zh-CN"/>
    </w:rPr>
  </w:style>
  <w:style w:type="paragraph" w:styleId="865">
    <w:name w:val="Основной текст"/>
    <w:basedOn w:val="850"/>
    <w:next w:val="865"/>
    <w:link w:val="866"/>
    <w:pPr>
      <w:spacing w:after="120"/>
    </w:pPr>
  </w:style>
  <w:style w:type="character" w:styleId="866">
    <w:name w:val="Основной текст Знак"/>
    <w:next w:val="866"/>
    <w:link w:val="865"/>
    <w:rPr>
      <w:sz w:val="24"/>
      <w:szCs w:val="24"/>
      <w:lang w:val="ru-RU" w:eastAsia="ru-RU" w:bidi="ar-SA"/>
    </w:rPr>
  </w:style>
  <w:style w:type="character" w:styleId="867">
    <w:name w:val="Гиперссылка"/>
    <w:next w:val="867"/>
    <w:link w:val="850"/>
    <w:rPr>
      <w:color w:val="0000ff"/>
      <w:u w:val="single"/>
    </w:rPr>
  </w:style>
  <w:style w:type="character" w:styleId="868">
    <w:name w:val="iceouttxt51"/>
    <w:next w:val="868"/>
    <w:link w:val="850"/>
    <w:rPr>
      <w:rFonts w:ascii="Arial" w:hAnsi="Arial" w:cs="Arial"/>
      <w:color w:val="666666"/>
      <w:sz w:val="17"/>
      <w:szCs w:val="17"/>
    </w:rPr>
  </w:style>
  <w:style w:type="character" w:styleId="869">
    <w:name w:val="iceouttxt101"/>
    <w:next w:val="869"/>
    <w:link w:val="850"/>
    <w:rPr>
      <w:rFonts w:ascii="Arial" w:hAnsi="Arial" w:cs="Arial"/>
      <w:color w:val="ffffff"/>
      <w:sz w:val="17"/>
      <w:szCs w:val="17"/>
    </w:rPr>
  </w:style>
  <w:style w:type="paragraph" w:styleId="870">
    <w:name w:val="ConsPlusCell"/>
    <w:next w:val="870"/>
    <w:link w:val="850"/>
    <w:uiPriority w:val="99"/>
    <w:rPr>
      <w:sz w:val="24"/>
      <w:szCs w:val="24"/>
      <w:lang w:val="ru-RU" w:eastAsia="ru-RU" w:bidi="ar-SA"/>
    </w:rPr>
  </w:style>
  <w:style w:type="paragraph" w:styleId="871">
    <w:name w:val="Обычный таблица"/>
    <w:basedOn w:val="850"/>
    <w:next w:val="871"/>
    <w:link w:val="850"/>
    <w:rPr>
      <w:sz w:val="18"/>
      <w:szCs w:val="18"/>
      <w:lang w:eastAsia="zh-CN"/>
    </w:rPr>
  </w:style>
  <w:style w:type="character" w:styleId="872">
    <w:name w:val="Заголовок 1 Знак"/>
    <w:next w:val="872"/>
    <w:link w:val="851"/>
    <w:rPr>
      <w:rFonts w:eastAsia="Calibri"/>
      <w:b/>
      <w:bCs/>
      <w:sz w:val="36"/>
      <w:szCs w:val="36"/>
      <w:lang w:eastAsia="zh-CN"/>
    </w:rPr>
  </w:style>
  <w:style w:type="paragraph" w:styleId="873">
    <w:name w:val="Схема документа"/>
    <w:basedOn w:val="850"/>
    <w:next w:val="873"/>
    <w:link w:val="874"/>
    <w:rPr>
      <w:rFonts w:ascii="Tahoma" w:hAnsi="Tahoma" w:cs="Tahoma"/>
      <w:sz w:val="16"/>
      <w:szCs w:val="16"/>
    </w:rPr>
  </w:style>
  <w:style w:type="character" w:styleId="874">
    <w:name w:val="Схема документа Знак"/>
    <w:next w:val="874"/>
    <w:link w:val="873"/>
    <w:rPr>
      <w:rFonts w:ascii="Tahoma" w:hAnsi="Tahoma" w:cs="Tahoma"/>
      <w:sz w:val="16"/>
      <w:szCs w:val="16"/>
    </w:rPr>
  </w:style>
  <w:style w:type="paragraph" w:styleId="875">
    <w:name w:val="Обычный1"/>
    <w:next w:val="875"/>
    <w:link w:val="850"/>
    <w:rPr>
      <w:rFonts w:eastAsia="Calibri"/>
      <w:lang w:val="ru-RU" w:eastAsia="ru-RU" w:bidi="ar-SA"/>
    </w:rPr>
  </w:style>
  <w:style w:type="character" w:styleId="876">
    <w:name w:val="Выделение"/>
    <w:next w:val="876"/>
    <w:link w:val="850"/>
    <w:qFormat/>
    <w:rPr>
      <w:i/>
      <w:iCs/>
    </w:rPr>
  </w:style>
  <w:style w:type="character" w:styleId="877">
    <w:name w:val="chapter"/>
    <w:next w:val="877"/>
    <w:link w:val="850"/>
  </w:style>
  <w:style w:type="character" w:styleId="878">
    <w:name w:val="section"/>
    <w:next w:val="878"/>
    <w:link w:val="850"/>
  </w:style>
  <w:style w:type="character" w:styleId="879">
    <w:name w:val="objectiveitem"/>
    <w:next w:val="879"/>
    <w:link w:val="850"/>
  </w:style>
  <w:style w:type="character" w:styleId="880">
    <w:name w:val="kbktypeexpens"/>
    <w:next w:val="880"/>
    <w:link w:val="850"/>
  </w:style>
  <w:style w:type="paragraph" w:styleId="881">
    <w:name w:val="UserStyle_18"/>
    <w:basedOn w:val="850"/>
    <w:next w:val="858"/>
    <w:link w:val="850"/>
    <w:qFormat/>
    <w:pPr>
      <w:jc w:val="center"/>
    </w:pPr>
    <w:rPr>
      <w:b/>
      <w:bCs/>
    </w:rPr>
  </w:style>
  <w:style w:type="character" w:styleId="882" w:default="1">
    <w:name w:val="Default Paragraph Font"/>
    <w:uiPriority w:val="1"/>
    <w:semiHidden/>
    <w:unhideWhenUsed/>
  </w:style>
  <w:style w:type="numbering" w:styleId="883" w:default="1">
    <w:name w:val="No List"/>
    <w:uiPriority w:val="99"/>
    <w:semiHidden/>
    <w:unhideWhenUsed/>
  </w:style>
  <w:style w:type="table" w:styleId="88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SamForum.ws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Egurova</dc:creator>
  <cp:revision>53</cp:revision>
  <dcterms:created xsi:type="dcterms:W3CDTF">2023-10-13T07:21:00Z</dcterms:created>
  <dcterms:modified xsi:type="dcterms:W3CDTF">2026-10-06T06:17:38Z</dcterms:modified>
  <cp:version>1048576</cp:version>
</cp:coreProperties>
</file>