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/>
        <w:jc w:val="center"/>
        <w:spacing w:before="240"/>
        <w:rPr>
          <w:b/>
        </w:rPr>
        <w:outlineLvl w:val="0"/>
      </w:pPr>
      <w:r>
        <w:rPr>
          <w:b/>
        </w:rPr>
        <w:t xml:space="preserve">Обоснование расчета начальной (максимальной) цены</w:t>
      </w:r>
      <w:r>
        <w:rPr>
          <w:b/>
        </w:rPr>
      </w:r>
      <w:r>
        <w:rPr>
          <w:b/>
        </w:rPr>
      </w:r>
    </w:p>
    <w:p>
      <w:pPr>
        <w:ind w:left="0" w:right="0"/>
        <w:jc w:val="center"/>
        <w:spacing w:after="240"/>
        <w:rPr>
          <w:b/>
        </w:rPr>
      </w:pPr>
      <w:r>
        <w:rPr>
          <w:b/>
        </w:rPr>
        <w:t xml:space="preserve"> контракта (НМЦК</w:t>
      </w:r>
      <w:r>
        <w:rPr>
          <w:b/>
        </w:rPr>
        <w:t xml:space="preserve">)</w:t>
      </w:r>
      <w:r>
        <w:rPr>
          <w:b/>
        </w:rPr>
        <w:t xml:space="preserve">.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jc w:val="center"/>
        <w:rPr>
          <w:u w:val="single"/>
        </w:rPr>
      </w:pPr>
      <w:r>
        <w:rPr>
          <w:u w:val="single"/>
        </w:rPr>
        <w:t xml:space="preserve">Поставка противогазов гражданских ГП-7Б</w:t>
      </w:r>
      <w:r>
        <w:rPr>
          <w:u w:val="single"/>
        </w:rPr>
      </w:r>
      <w:r>
        <w:rPr>
          <w:u w:val="single"/>
        </w:rPr>
      </w:r>
    </w:p>
    <w:p>
      <w:pPr>
        <w:jc w:val="center"/>
      </w:pPr>
      <w:r/>
      <w:r/>
    </w:p>
    <w:tbl>
      <w:tblPr>
        <w:tblW w:w="15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5103"/>
        <w:gridCol w:w="7371"/>
      </w:tblGrid>
      <w:tr>
        <w:tblPrEx/>
        <w:trPr/>
        <w:tc>
          <w:tcPr>
            <w:tcW w:w="3289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Основные характеристики объекта закупки</w:t>
            </w:r>
            <w:r>
              <w:rPr>
                <w:rFonts w:eastAsia="Times New Roman"/>
                <w:b/>
                <w:bCs/>
              </w:rPr>
            </w:r>
            <w:r>
              <w:rPr>
                <w:rFonts w:eastAsia="Times New Roman"/>
                <w:b/>
                <w:bCs/>
              </w:rPr>
            </w:r>
          </w:p>
        </w:tc>
        <w:tc>
          <w:tcPr>
            <w:gridSpan w:val="2"/>
            <w:tcW w:w="1247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74" w:lineRule="exact"/>
              <w:widowControl w:val="off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hd w:val="clear" w:color="auto" w:fill="ffffff"/>
              </w:rPr>
              <w:t xml:space="preserve">В соответствии с техническим заданием</w:t>
            </w:r>
            <w:r>
              <w:rPr>
                <w:rFonts w:eastAsia="Times New Roman"/>
                <w:shd w:val="clear" w:color="auto" w:fill="ffffff"/>
              </w:rPr>
            </w:r>
            <w:r>
              <w:rPr>
                <w:rFonts w:eastAsia="Times New Roman"/>
                <w:shd w:val="clear" w:color="auto" w:fill="ffffff"/>
              </w:rPr>
            </w:r>
          </w:p>
          <w:p>
            <w:pPr>
              <w:ind w:left="0" w:right="0" w:firstLine="0"/>
              <w:spacing w:line="274" w:lineRule="exact"/>
              <w:widowControl w:val="off"/>
              <w:rPr>
                <w:rFonts w:eastAsia="Times New Roman"/>
                <w:color w:val="ff0000"/>
                <w:sz w:val="26"/>
                <w:szCs w:val="26"/>
              </w:rPr>
            </w:pPr>
            <w:r>
              <w:rPr>
                <w:rFonts w:eastAsia="Times New Roman"/>
                <w:color w:val="ff0000"/>
                <w:sz w:val="26"/>
                <w:szCs w:val="26"/>
              </w:rPr>
            </w:r>
            <w:r>
              <w:rPr>
                <w:rFonts w:eastAsia="Times New Roman"/>
                <w:color w:val="ff0000"/>
                <w:sz w:val="26"/>
                <w:szCs w:val="26"/>
              </w:rPr>
            </w:r>
            <w:r>
              <w:rPr>
                <w:rFonts w:eastAsia="Times New Roman"/>
                <w:color w:val="ff0000"/>
                <w:sz w:val="26"/>
                <w:szCs w:val="26"/>
              </w:rPr>
            </w:r>
          </w:p>
        </w:tc>
      </w:tr>
      <w:tr>
        <w:tblPrEx/>
        <w:trPr/>
        <w:tc>
          <w:tcPr>
            <w:tcW w:w="3289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Используемый метод определения НМЦК </w:t>
            </w:r>
            <w:r>
              <w:rPr>
                <w:rFonts w:eastAsia="Times New Roman"/>
                <w:b/>
                <w:bCs/>
              </w:rPr>
              <w:br/>
              <w:t xml:space="preserve">с обоснованием:</w:t>
            </w:r>
            <w:r>
              <w:rPr>
                <w:rFonts w:eastAsia="Times New Roman"/>
                <w:b/>
                <w:bCs/>
              </w:rPr>
            </w:r>
            <w:r>
              <w:rPr>
                <w:rFonts w:eastAsia="Times New Roman"/>
                <w:b/>
                <w:bCs/>
              </w:rPr>
            </w:r>
          </w:p>
        </w:tc>
        <w:tc>
          <w:tcPr>
            <w:gridSpan w:val="2"/>
            <w:tcW w:w="12474" w:type="dxa"/>
            <w:vAlign w:val="center"/>
            <w:textDirection w:val="lrTb"/>
            <w:noWrap w:val="false"/>
          </w:tcPr>
          <w:p>
            <w:pPr>
              <w:ind w:left="57" w:righ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Использовался метод «сопоставимых рыночных цен (анализ рынка).</w:t>
            </w:r>
            <w:r>
              <w:rPr>
                <w:rFonts w:eastAsia="Times New Roman"/>
                <w:b/>
              </w:rPr>
            </w:r>
            <w:r>
              <w:rPr>
                <w:rFonts w:eastAsia="Times New Roman"/>
                <w:b/>
              </w:rPr>
            </w:r>
          </w:p>
          <w:p>
            <w:pPr>
              <w:ind w:left="57" w:righ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Начальная максимальная цена определена в соответствии с п. 1 ч. 1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      </w:r>
            <w:r>
              <w:rPr>
                <w:rFonts w:eastAsia="Times New Roman"/>
              </w:rPr>
              <w:t xml:space="preserve">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  <w:tr>
        <w:tblPrEx/>
        <w:trPr/>
        <w:tc>
          <w:tcPr>
            <w:tcW w:w="3289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Расчет НМЦК</w:t>
            </w:r>
            <w:r>
              <w:rPr>
                <w:rFonts w:eastAsia="Times New Roman"/>
                <w:b/>
                <w:bCs/>
              </w:rPr>
            </w:r>
            <w:r>
              <w:rPr>
                <w:rFonts w:eastAsia="Times New Roman"/>
                <w:b/>
                <w:bCs/>
              </w:rPr>
            </w:r>
          </w:p>
        </w:tc>
        <w:tc>
          <w:tcPr>
            <w:gridSpan w:val="2"/>
            <w:tcW w:w="12474" w:type="dxa"/>
            <w:vAlign w:val="center"/>
            <w:textDirection w:val="lrTb"/>
            <w:noWrap w:val="false"/>
          </w:tcPr>
          <w:p>
            <w:pPr>
              <w:ind w:left="57" w:right="0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 xml:space="preserve">250000,00 </w:t>
            </w:r>
            <w:r>
              <w:rPr>
                <w:rFonts w:eastAsia="Times New Roman"/>
                <w:b/>
              </w:rPr>
              <w:t xml:space="preserve">рублей</w:t>
            </w:r>
            <w:r>
              <w:rPr>
                <w:rFonts w:eastAsia="Times New Roman"/>
                <w:b/>
              </w:rPr>
            </w:r>
            <w:r>
              <w:rPr>
                <w:rFonts w:eastAsia="Times New Roman"/>
                <w:b/>
              </w:rPr>
            </w:r>
          </w:p>
          <w:p>
            <w:pPr>
              <w:ind w:left="57" w:right="0" w:firstLine="0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 xml:space="preserve">Расчет приведен в Приложении № 1 к обоснованию</w:t>
            </w:r>
            <w:r>
              <w:rPr>
                <w:rFonts w:eastAsia="Times New Roman"/>
                <w:color w:val="ff0000"/>
              </w:rPr>
            </w:r>
            <w:r>
              <w:rPr>
                <w:rFonts w:eastAsia="Times New Roman"/>
                <w:color w:val="ff0000"/>
              </w:rPr>
            </w:r>
          </w:p>
        </w:tc>
      </w:tr>
      <w:tr>
        <w:tblPrEx/>
        <w:trPr>
          <w:cantSplit/>
        </w:trPr>
        <w:tc>
          <w:tcPr>
            <w:gridSpan w:val="2"/>
            <w:tcBorders>
              <w:right w:val="none" w:color="000000" w:sz="4" w:space="0"/>
            </w:tcBorders>
            <w:tcW w:w="8392" w:type="dxa"/>
            <w:textDirection w:val="lrTb"/>
            <w:noWrap w:val="false"/>
          </w:tcPr>
          <w:p>
            <w:pPr>
              <w:ind w:left="0" w:right="57" w:firstLine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Дата подготовки обоснования НМЦК:</w:t>
            </w:r>
            <w:r>
              <w:rPr>
                <w:rFonts w:eastAsia="Times New Roman"/>
                <w:b/>
                <w:bCs/>
              </w:rPr>
            </w:r>
            <w:r>
              <w:rPr>
                <w:rFonts w:eastAsia="Times New Roman"/>
                <w:b/>
                <w:bCs/>
              </w:rPr>
            </w:r>
          </w:p>
        </w:tc>
        <w:tc>
          <w:tcPr>
            <w:tcBorders>
              <w:lef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b/>
                <w:bCs/>
                <w:color w:val="ff0000"/>
              </w:rPr>
            </w:pPr>
            <w:r>
              <w:rPr>
                <w:b/>
                <w:bCs/>
                <w:lang w:val="en-US"/>
              </w:rPr>
              <w:t xml:space="preserve">28.09</w:t>
            </w:r>
            <w:r>
              <w:rPr>
                <w:b/>
                <w:bCs/>
              </w:rPr>
              <w:t xml:space="preserve">.202</w:t>
            </w:r>
            <w:r>
              <w:rPr>
                <w:b/>
                <w:bCs/>
              </w:rPr>
              <w:t xml:space="preserve">6</w:t>
            </w:r>
            <w:r>
              <w:rPr>
                <w:rFonts w:eastAsia="Times New Roman"/>
                <w:b/>
                <w:bCs/>
                <w:color w:val="ff0000"/>
              </w:rPr>
            </w:r>
            <w:r>
              <w:rPr>
                <w:rFonts w:eastAsia="Times New Roman"/>
                <w:b/>
                <w:bCs/>
                <w:color w:val="ff0000"/>
              </w:rPr>
            </w:r>
          </w:p>
        </w:tc>
      </w:tr>
    </w:tbl>
    <w:p>
      <w:pPr>
        <w:ind w:left="0" w:right="8250" w:firstLine="567"/>
        <w:jc w:val="both"/>
        <w:spacing w:before="120" w:after="120"/>
        <w:tabs>
          <w:tab w:val="left" w:pos="13438" w:leader="none"/>
        </w:tabs>
        <w:rPr>
          <w:rFonts w:eastAsia="Times New Roman"/>
          <w:bCs/>
        </w:rPr>
      </w:pPr>
      <w:r>
        <w:rPr>
          <w:rFonts w:eastAsia="Times New Roman"/>
          <w:bCs/>
        </w:rPr>
      </w:r>
      <w:r>
        <w:rPr>
          <w:rFonts w:eastAsia="Times New Roman"/>
          <w:bCs/>
        </w:rPr>
      </w:r>
      <w:r>
        <w:rPr>
          <w:rFonts w:eastAsia="Times New Roman"/>
          <w:bCs/>
        </w:rPr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4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Главный специалист-эксперт</w:t>
            </w:r>
            <w:r>
              <w:rPr>
                <w:rFonts w:eastAsia="Times New Roman"/>
              </w:rPr>
              <w:t xml:space="preserve"> Управления Федеральной службы государственной регистрации, кадастра и картографии </w:t>
            </w:r>
            <w:r>
              <w:rPr>
                <w:rFonts w:eastAsia="Times New Roman"/>
                <w:color w:val="000000" w:themeColor="text1"/>
              </w:rPr>
              <w:t xml:space="preserve">по Кировской области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49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(должность)</w:t>
            </w:r>
            <w:r>
              <w:rPr>
                <w:rFonts w:eastAsia="Times New Roman"/>
                <w:sz w:val="18"/>
                <w:szCs w:val="18"/>
              </w:rPr>
            </w:r>
            <w:r>
              <w:rPr>
                <w:rFonts w:eastAsia="Times New Roman"/>
                <w:sz w:val="18"/>
                <w:szCs w:val="18"/>
              </w:rPr>
            </w:r>
          </w:p>
        </w:tc>
      </w:tr>
    </w:tbl>
    <w:p>
      <w:pPr>
        <w:ind w:left="0" w:right="0" w:firstLine="0"/>
        <w:rPr>
          <w:rFonts w:eastAsia="Times New Roman"/>
          <w:sz w:val="2"/>
          <w:szCs w:val="2"/>
        </w:rPr>
      </w:pPr>
      <w:r>
        <w:rPr>
          <w:rFonts w:eastAsia="Times New Roman"/>
          <w:sz w:val="2"/>
          <w:szCs w:val="2"/>
        </w:rPr>
      </w:r>
      <w:r>
        <w:rPr>
          <w:rFonts w:eastAsia="Times New Roman"/>
          <w:sz w:val="2"/>
          <w:szCs w:val="2"/>
        </w:rPr>
      </w:r>
      <w:r>
        <w:rPr>
          <w:rFonts w:eastAsia="Times New Roman"/>
          <w:sz w:val="2"/>
          <w:szCs w:val="2"/>
        </w:rPr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2977"/>
        <w:gridCol w:w="142"/>
        <w:gridCol w:w="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28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4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/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О.А. Прозорова 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" w:type="dxa"/>
            <w:vAlign w:val="bottom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/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49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(подпись/расшифровка подписи)</w:t>
            </w:r>
            <w:r>
              <w:rPr>
                <w:rFonts w:eastAsia="Times New Roman"/>
                <w:sz w:val="18"/>
                <w:szCs w:val="18"/>
              </w:rPr>
            </w:r>
            <w:r>
              <w:rPr>
                <w:rFonts w:eastAsia="Times New Roman"/>
                <w:sz w:val="18"/>
                <w:szCs w:val="18"/>
              </w:rPr>
            </w:r>
          </w:p>
        </w:tc>
      </w:tr>
    </w:tbl>
    <w:p>
      <w:pPr>
        <w:ind w:left="0" w:right="0" w:firstLine="0"/>
        <w:spacing w:after="120"/>
        <w:rPr>
          <w:rFonts w:eastAsia="Times New Roman"/>
          <w:sz w:val="2"/>
          <w:szCs w:val="2"/>
        </w:rPr>
      </w:pPr>
      <w:r>
        <w:rPr>
          <w:rFonts w:eastAsia="Times New Roman"/>
          <w:sz w:val="2"/>
          <w:szCs w:val="2"/>
        </w:rPr>
      </w:r>
      <w:r>
        <w:rPr>
          <w:rFonts w:eastAsia="Times New Roman"/>
          <w:sz w:val="2"/>
          <w:szCs w:val="2"/>
        </w:rPr>
      </w:r>
      <w:r>
        <w:rPr>
          <w:rFonts w:eastAsia="Times New Roman"/>
          <w:sz w:val="2"/>
          <w:szCs w:val="2"/>
        </w:rPr>
      </w:r>
    </w:p>
    <w:p>
      <w:pPr>
        <w:ind w:left="567" w:right="0" w:firstLine="0"/>
        <w:spacing w:before="12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</w:r>
      <w:r>
        <w:rPr>
          <w:rFonts w:eastAsia="Times New Roman"/>
          <w:sz w:val="18"/>
          <w:szCs w:val="18"/>
        </w:rPr>
      </w:r>
      <w:r>
        <w:rPr>
          <w:rFonts w:eastAsia="Times New Roman"/>
          <w:sz w:val="18"/>
          <w:szCs w:val="18"/>
        </w:rPr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985"/>
        <w:gridCol w:w="397"/>
        <w:gridCol w:w="369"/>
        <w:gridCol w:w="39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“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28</w:t>
            </w:r>
            <w:r>
              <w:rPr>
                <w:rFonts w:eastAsia="Times New Roman"/>
                <w:lang w:val="en-US"/>
              </w:rPr>
            </w:r>
            <w:r>
              <w:rPr>
                <w:rFonts w:eastAsia="Times New Roman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" w:type="dxa"/>
            <w:vAlign w:val="bottom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”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сентября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</w:t>
            </w:r>
            <w:r>
              <w:rPr>
                <w:rFonts w:eastAsia="Times New Roman"/>
              </w:rPr>
              <w:t xml:space="preserve">6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ind w:left="57" w:righ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г.</w: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</w:tbl>
    <w:p>
      <w:pPr>
        <w:ind w:left="567" w:right="0" w:firstLine="0"/>
        <w:spacing w:before="12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</w:r>
      <w:r>
        <w:rPr>
          <w:rFonts w:eastAsia="Times New Roman"/>
          <w:sz w:val="18"/>
          <w:szCs w:val="18"/>
        </w:rPr>
      </w:r>
      <w:r>
        <w:rPr>
          <w:rFonts w:eastAsia="Times New Roman"/>
          <w:sz w:val="18"/>
          <w:szCs w:val="18"/>
        </w:rPr>
      </w:r>
    </w:p>
    <w:p>
      <w:pPr>
        <w:ind w:left="567" w:right="0" w:firstLine="0"/>
        <w:spacing w:before="120"/>
        <w:rPr>
          <w:rFonts w:eastAsia="Times New Roman"/>
          <w:sz w:val="18"/>
          <w:szCs w:val="18"/>
        </w:rPr>
        <w:sectPr>
          <w:footnotePr/>
          <w:endnotePr/>
          <w:type w:val="nextPage"/>
          <w:pgSz w:w="16840" w:h="11907" w:orient="landscape"/>
          <w:pgMar w:top="1418" w:right="567" w:bottom="567" w:left="567" w:header="397" w:footer="397" w:gutter="0"/>
          <w:cols w:num="1" w:sep="0" w:space="709" w:equalWidth="1"/>
          <w:docGrid w:linePitch="360"/>
        </w:sectPr>
      </w:pPr>
      <w:r>
        <w:rPr>
          <w:rFonts w:eastAsia="Times New Roman"/>
          <w:sz w:val="18"/>
          <w:szCs w:val="18"/>
        </w:rPr>
        <w:t xml:space="preserve">Прозорова Ольга Анатольевна</w:t>
      </w:r>
      <w:r>
        <w:rPr>
          <w:rFonts w:eastAsia="Times New Roman"/>
          <w:sz w:val="18"/>
          <w:szCs w:val="18"/>
        </w:rPr>
        <w:t xml:space="preserve"> (</w:t>
      </w:r>
      <w:r>
        <w:rPr>
          <w:rFonts w:eastAsia="Times New Roman"/>
          <w:sz w:val="18"/>
          <w:szCs w:val="18"/>
        </w:rPr>
        <w:t xml:space="preserve">8332</w:t>
      </w:r>
      <w:r>
        <w:rPr>
          <w:rFonts w:eastAsia="Times New Roman"/>
          <w:sz w:val="18"/>
          <w:szCs w:val="18"/>
        </w:rPr>
        <w:t xml:space="preserve">)</w:t>
      </w:r>
      <w:r>
        <w:rPr>
          <w:rFonts w:eastAsia="Times New Roman"/>
          <w:sz w:val="18"/>
          <w:szCs w:val="18"/>
          <w:lang w:val="en-US"/>
        </w:rPr>
        <w:t xml:space="preserve"> </w:t>
      </w:r>
      <w:r>
        <w:rPr>
          <w:rFonts w:eastAsia="Times New Roman"/>
          <w:sz w:val="18"/>
          <w:szCs w:val="18"/>
        </w:rPr>
        <w:t xml:space="preserve">35</w:t>
      </w:r>
      <w:r>
        <w:rPr>
          <w:rFonts w:eastAsia="Times New Roman"/>
          <w:sz w:val="18"/>
          <w:szCs w:val="18"/>
        </w:rPr>
        <w:t xml:space="preserve">-</w:t>
      </w:r>
      <w:r>
        <w:rPr>
          <w:rFonts w:eastAsia="Times New Roman"/>
          <w:sz w:val="18"/>
          <w:szCs w:val="18"/>
        </w:rPr>
        <w:t xml:space="preserve">99-52</w:t>
      </w:r>
      <w:r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</w:r>
      <w:r>
        <w:rPr>
          <w:rFonts w:eastAsia="Times New Roman"/>
          <w:sz w:val="18"/>
          <w:szCs w:val="18"/>
        </w:rPr>
      </w:r>
    </w:p>
    <w:tbl>
      <w:tblPr>
        <w:tblStyle w:val="84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47"/>
        <w:gridCol w:w="8690"/>
      </w:tblGrid>
      <w:tr>
        <w:tblPrEx/>
        <w:trPr/>
        <w:tc>
          <w:tcPr>
            <w:tcW w:w="6827" w:type="dxa"/>
            <w:textDirection w:val="lrTb"/>
            <w:noWrap w:val="false"/>
          </w:tcPr>
          <w:p>
            <w:r/>
            <w:r/>
          </w:p>
        </w:tc>
        <w:tc>
          <w:tcPr>
            <w:tcW w:w="9016" w:type="dxa"/>
            <w:textDirection w:val="lrTb"/>
            <w:noWrap w:val="false"/>
          </w:tcPr>
          <w:p>
            <w:pPr>
              <w:ind w:right="-29"/>
              <w:jc w:val="center"/>
            </w:pPr>
            <w:r>
              <w:t xml:space="preserve">Приложение № </w:t>
            </w:r>
            <w:r>
              <w:t xml:space="preserve">1</w:t>
            </w:r>
            <w:r/>
          </w:p>
          <w:p>
            <w:pPr>
              <w:ind w:right="-29"/>
              <w:jc w:val="both"/>
            </w:pPr>
            <w:r>
              <w:t xml:space="preserve">к обоснованию начальной (максимальной) цены контракта </w:t>
            </w:r>
            <w:r/>
          </w:p>
        </w:tc>
      </w:tr>
    </w:tbl>
    <w:p>
      <w:pPr>
        <w:ind w:left="0" w:right="0"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</w:r>
      <w:r>
        <w:rPr>
          <w:rFonts w:eastAsia="Times New Roman"/>
          <w:b/>
        </w:rPr>
      </w:r>
      <w:r>
        <w:rPr>
          <w:rFonts w:eastAsia="Times New Roman"/>
          <w:b/>
        </w:rPr>
      </w:r>
    </w:p>
    <w:p>
      <w:pPr>
        <w:ind w:left="0" w:right="0" w:firstLine="0"/>
        <w:jc w:val="center"/>
        <w:rPr>
          <w:rFonts w:eastAsia="Times New Roman"/>
        </w:rPr>
      </w:pPr>
      <w:r>
        <w:rPr>
          <w:rFonts w:eastAsia="Times New Roman"/>
          <w:b/>
        </w:rPr>
        <w:t xml:space="preserve">Расчет начальной (максимальной) цены контракта методом сопоставимых рыночных цен (анализ рынка)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0" w:right="0"/>
        <w:jc w:val="both"/>
        <w:rPr>
          <w:rFonts w:eastAsia="Times New Roman"/>
          <w:color w:val="000000"/>
        </w:rPr>
      </w:pPr>
      <w:r>
        <w:t xml:space="preserve">В соответствии с пунктом 3.7.1 приказ</w:t>
      </w:r>
      <w:r>
        <w:t xml:space="preserve">а Минэкономразвития России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</w:t>
      </w:r>
      <w:r>
        <w:t xml:space="preserve">в</w:t>
      </w:r>
      <w:r>
        <w:rPr>
          <w:rFonts w:eastAsia="Times New Roman"/>
          <w:color w:val="000000"/>
        </w:rPr>
        <w:t xml:space="preserve"> целях определения НМЦК было получено коммерческое предложение по запросу</w:t>
      </w:r>
      <w:r>
        <w:rPr>
          <w:rFonts w:eastAsia="Times New Roman"/>
          <w:color w:val="000000"/>
        </w:rPr>
        <w:t xml:space="preserve"> и произведен анализ заключенных контрактов по закупке противогазов гражданских ГП-7Б в реестре контрактов Единой информационной системы (ЕИС)</w:t>
      </w:r>
      <w:r>
        <w:rPr>
          <w:rFonts w:eastAsia="Times New Roman"/>
          <w:color w:val="000000"/>
        </w:rPr>
        <w:t xml:space="preserve">.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При расчете использовался метод «сопоставимых рын</w:t>
      </w:r>
      <w:r>
        <w:rPr>
          <w:rFonts w:eastAsia="Times New Roman"/>
          <w:color w:val="000000"/>
        </w:rPr>
        <w:t xml:space="preserve">очных цен (анализ рынка)».</w:t>
      </w: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p>
      <w:pPr>
        <w:ind w:left="0" w:right="0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Источники ценовой информации: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0" w:right="0"/>
        <w:jc w:val="both"/>
        <w:rPr>
          <w:rFonts w:eastAsia="Times New Roman"/>
          <w:color w:val="000000"/>
          <w14:ligatures w14:val="none"/>
        </w:rPr>
      </w:pPr>
      <w:r>
        <w:rPr>
          <w:rFonts w:eastAsia="Times New Roman"/>
        </w:rPr>
        <w:t xml:space="preserve">Источник</w:t>
      </w:r>
      <w:r>
        <w:rPr>
          <w:rFonts w:eastAsia="Times New Roman"/>
        </w:rPr>
        <w:t xml:space="preserve"> №</w:t>
      </w:r>
      <w:r>
        <w:rPr>
          <w:rFonts w:eastAsia="Times New Roman"/>
        </w:rPr>
        <w:t xml:space="preserve">1</w:t>
      </w:r>
      <w:r>
        <w:rPr>
          <w:rFonts w:eastAsia="Times New Roman"/>
        </w:rPr>
        <w:t xml:space="preserve">:</w:t>
      </w:r>
      <w:r>
        <w:rPr>
          <w:rFonts w:eastAsia="Times New Roman"/>
        </w:rPr>
        <w:t xml:space="preserve"> К</w:t>
      </w:r>
      <w:r>
        <w:rPr>
          <w:rFonts w:eastAsia="Times New Roman"/>
          <w:color w:val="000000"/>
        </w:rPr>
        <w:t xml:space="preserve">онтракт в ЕИС с реестровым </w:t>
      </w:r>
      <w:r>
        <w:rPr>
          <w:rFonts w:eastAsia="Times New Roman"/>
          <w:color w:val="000000"/>
        </w:rPr>
        <w:t xml:space="preserve">№ </w:t>
      </w:r>
      <w:r>
        <w:rPr>
          <w:rFonts w:eastAsia="Times New Roman"/>
          <w:color w:val="000000"/>
        </w:rPr>
        <w:t xml:space="preserve">1622803142326000007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от 08.04.2026</w:t>
      </w:r>
      <w:r>
        <w:rPr>
          <w:rFonts w:eastAsia="Times New Roman"/>
          <w:color w:val="000000"/>
          <w:lang w:val="en-US"/>
        </w:rPr>
      </w:r>
      <w:r>
        <w:rPr>
          <w:rFonts w:eastAsia="Times New Roman"/>
          <w:color w:val="000000"/>
          <w14:ligatures w14:val="none"/>
        </w:rPr>
      </w:r>
    </w:p>
    <w:p>
      <w:pPr>
        <w:ind w:left="0" w:right="0"/>
        <w:jc w:val="both"/>
        <w:rPr>
          <w:rFonts w:eastAsia="Times New Roman"/>
          <w:sz w:val="16"/>
          <w:szCs w:val="16"/>
          <w14:ligatures w14:val="none"/>
        </w:rPr>
      </w:pPr>
      <w:r>
        <w:rPr>
          <w:rFonts w:eastAsia="Times New Roman"/>
        </w:rPr>
        <w:t xml:space="preserve">Источник</w:t>
      </w:r>
      <w:r>
        <w:rPr>
          <w:rFonts w:eastAsia="Times New Roman"/>
        </w:rPr>
        <w:t xml:space="preserve"> №</w:t>
      </w:r>
      <w:r>
        <w:rPr>
          <w:rFonts w:eastAsia="Times New Roman"/>
        </w:rPr>
        <w:t xml:space="preserve">2</w:t>
      </w:r>
      <w:r>
        <w:rPr>
          <w:rFonts w:eastAsia="Times New Roman"/>
        </w:rPr>
        <w:t xml:space="preserve">: </w:t>
      </w:r>
      <w:r>
        <w:rPr>
          <w:rFonts w:eastAsia="Times New Roman"/>
        </w:rPr>
        <w:t xml:space="preserve">контракт в ЕИС с реестровым № </w:t>
      </w:r>
      <w:r>
        <w:rPr>
          <w:rFonts w:eastAsia="Times New Roman"/>
        </w:rPr>
        <w:t xml:space="preserve">2673100432226000088</w:t>
      </w:r>
      <w:r>
        <w:rPr>
          <w:rFonts w:eastAsia="Times New Roman"/>
        </w:rPr>
        <w:t xml:space="preserve"> </w:t>
      </w: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  <w:t xml:space="preserve">от 01.06.2026</w:t>
      </w: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  <w14:ligatures w14:val="none"/>
        </w:rPr>
      </w:r>
    </w:p>
    <w:p>
      <w:pPr>
        <w:ind w:left="0" w:right="0" w:firstLine="720"/>
        <w:jc w:val="both"/>
      </w:pPr>
      <w:r>
        <w:rPr>
          <w:rFonts w:eastAsia="Times New Roman"/>
        </w:rPr>
        <w:t xml:space="preserve">Источник</w:t>
      </w:r>
      <w:r>
        <w:rPr>
          <w:rFonts w:eastAsia="Times New Roman"/>
        </w:rPr>
        <w:t xml:space="preserve"> №</w:t>
      </w:r>
      <w:r>
        <w:rPr>
          <w:rFonts w:eastAsia="Times New Roman"/>
        </w:rPr>
        <w:t xml:space="preserve">3</w:t>
      </w:r>
      <w:r>
        <w:rPr>
          <w:rFonts w:eastAsia="Times New Roman"/>
        </w:rPr>
        <w:t xml:space="preserve">:</w:t>
      </w:r>
      <w:r>
        <w:rPr>
          <w:rFonts w:eastAsia="Times New Roman"/>
        </w:rPr>
        <w:t xml:space="preserve"> ответ на запрос от 17.06.2026 № 09-05128@</w:t>
      </w:r>
      <w:r/>
    </w:p>
    <w:p>
      <w:pPr>
        <w:ind w:left="0" w:right="0" w:firstLine="720"/>
        <w:jc w:val="both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 w:firstLine="567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208280</wp:posOffset>
                </wp:positionV>
                <wp:extent cx="2100580" cy="723265"/>
                <wp:effectExtent l="0" t="0" r="0" b="635"/>
                <wp:wrapSquare wrapText="bothSides"/>
                <wp:docPr id="1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00580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844"/>
                              <w:spacing w:before="0" w:beforeAutospacing="0" w:after="0" w:afterAutospacing="0"/>
                            </w:pPr>
                            <w:r/>
                            <m:oMathPara>
                              <m:oMathParaPr>
                                <m:jc m:val="centerGroup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rPr/>
                                      <m:t>НМЦК 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rPr/>
                                      <m:t>рын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rPr/>
                                  <m:t>= </m:t>
                                </m:r>
                                <m:nary>
                                  <m:naryPr>
                                    <m:chr m:val="∑"/>
                                    <m:grow m:val="off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rPr/>
                                      <m:t>i=1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rPr/>
                                      <m:t>n</m:t>
                                    </m:r>
                                  </m:sup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iCs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rPr/>
                                          <m:t>&lt;ᶙ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rPr/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rPr/>
                                      <m:t>&gt;∙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iCs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rPr/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rPr/>
                                          <m:t>i</m:t>
                                        </m:r>
                                      </m:sub>
                                    </m:sSub>
                                  </m:e>
                                </m:nary>
                              </m:oMath>
                            </m:oMathPara>
                            <w:r/>
                            <w:r/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59264;o:allowoverlap:true;o:allowincell:true;mso-position-horizontal-relative:text;margin-left:21.65pt;mso-position-horizontal:absolute;mso-position-vertical-relative:text;margin-top:16.40pt;mso-position-vertical:absolute;width:165.40pt;height:56.95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>
                      <w:pPr>
                        <w:pStyle w:val="844"/>
                        <w:spacing w:before="0" w:beforeAutospacing="0" w:after="0" w:afterAutospacing="0"/>
                      </w:pPr>
                      <w:r/>
                      <m:oMathPara>
                        <m:oMathParaPr>
                          <m:jc m:val="centerGroup"/>
                        </m:oMathPara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rPr/>
                                <m:t>НМЦК 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rPr/>
                                <m:t>рын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rPr/>
                            <m:t>= </m:t>
                          </m:r>
                          <m:nary>
                            <m:naryPr>
                              <m:chr m:val="∑"/>
                              <m:grow m:val="off"/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rPr/>
                                <m:t>i=1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rPr/>
                                <m:t>n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rPr/>
                                    <m:t>&lt;ᶙ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rPr/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rPr/>
                                <m:t>&gt;∙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rPr/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rPr/>
                                    <m:t>i</m:t>
                                  </m:r>
                                </m:sub>
                              </m:sSub>
                            </m:e>
                          </m:nary>
                        </m:oMath>
                      </m:oMathPara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t xml:space="preserve">Начальная (максимальная) цена контракта была определена по формуле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/>
        <w:jc w:val="both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 </w:t>
      </w:r>
      <w:r>
        <w:t xml:space="preserve">где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/>
        <w:jc w:val="both"/>
        <w:widowControl w:val="off"/>
      </w:pPr>
      <w:r>
        <w:rPr>
          <w:position w:val="-1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3100" cy="233045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7310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3.00pt;height:18.3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t xml:space="preserve"> - НМЦК, определяемая методом сопоставимых рыночных цен (анализа рынка);</w:t>
      </w:r>
      <w:r/>
    </w:p>
    <w:p>
      <w:pPr>
        <w:ind w:left="567"/>
        <w:jc w:val="both"/>
        <w:widowControl w:val="off"/>
      </w:pPr>
      <w:r/>
      <w:bookmarkStart w:id="1" w:name="bssPhr125"/>
      <w:r/>
      <w:bookmarkEnd w:id="1"/>
      <w:r>
        <w:rPr>
          <w:bCs/>
          <w:i/>
          <w:color w:val="000000"/>
        </w:rPr>
        <w:t xml:space="preserve">&lt;ц</w:t>
      </w:r>
      <w:r>
        <w:rPr>
          <w:bCs/>
          <w:i/>
          <w:color w:val="000000"/>
          <w:vertAlign w:val="subscript"/>
          <w:lang w:val="en-US"/>
        </w:rPr>
        <w:t xml:space="preserve">i</w:t>
      </w:r>
      <w:r>
        <w:rPr>
          <w:bCs/>
          <w:i/>
          <w:color w:val="000000"/>
        </w:rPr>
        <w:t xml:space="preserve">&gt; – </w:t>
      </w:r>
      <w:r>
        <w:rPr>
          <w:bCs/>
          <w:color w:val="000000"/>
        </w:rPr>
        <w:t xml:space="preserve">среднеарифметическая величина цены </w:t>
      </w:r>
      <w:r>
        <w:rPr>
          <w:bCs/>
          <w:i/>
          <w:color w:val="000000"/>
          <w:lang w:val="en-US"/>
        </w:rPr>
        <w:t xml:space="preserve">i</w:t>
      </w:r>
      <w:r>
        <w:rPr>
          <w:bCs/>
          <w:color w:val="000000"/>
        </w:rPr>
        <w:t xml:space="preserve">-го товара</w:t>
      </w:r>
      <w:r/>
    </w:p>
    <w:p>
      <w:pPr>
        <w:ind w:left="567"/>
        <w:jc w:val="both"/>
        <w:widowControl w:val="off"/>
      </w:pPr>
      <w:r>
        <w:rPr>
          <w:i/>
          <w:lang w:val="en-US"/>
        </w:rPr>
        <w:t xml:space="preserve">v</w:t>
      </w:r>
      <w:r>
        <w:rPr>
          <w:i/>
          <w:vertAlign w:val="subscript"/>
          <w:lang w:val="en-US"/>
        </w:rPr>
        <w:t xml:space="preserve">i</w:t>
      </w:r>
      <w:r>
        <w:t xml:space="preserve"> </w:t>
      </w:r>
      <w:r>
        <w:t xml:space="preserve">- количество закупаемого </w:t>
      </w:r>
      <w:r>
        <w:rPr>
          <w:i/>
          <w:lang w:val="en-US"/>
        </w:rPr>
        <w:t xml:space="preserve">i</w:t>
      </w:r>
      <w:r>
        <w:t xml:space="preserve">-го товара;</w:t>
      </w:r>
      <w:bookmarkStart w:id="2" w:name="ZAP2MEE3N3"/>
      <w:r/>
      <w:bookmarkStart w:id="3" w:name="ZAP2RT03OK"/>
      <w:r/>
      <w:bookmarkEnd w:id="2"/>
      <w:r/>
      <w:bookmarkEnd w:id="3"/>
      <w:r/>
      <w:r/>
    </w:p>
    <w:p>
      <w:pPr>
        <w:ind w:left="567"/>
        <w:jc w:val="both"/>
        <w:widowControl w:val="off"/>
      </w:pPr>
      <w:r/>
      <w:bookmarkStart w:id="4" w:name="bssPhr126"/>
      <w:r/>
      <w:bookmarkEnd w:id="4"/>
      <w:r>
        <w:rPr>
          <w:i/>
          <w:lang w:val="en-US"/>
        </w:rPr>
        <w:t xml:space="preserve">n</w:t>
      </w:r>
      <w:r>
        <w:t xml:space="preserve"> - количество значений, используемых в расчете;</w:t>
      </w:r>
      <w:bookmarkStart w:id="5" w:name="ZAP2BCI3K8"/>
      <w:r/>
      <w:bookmarkStart w:id="6" w:name="ZAP2GR43LP"/>
      <w:r/>
      <w:bookmarkEnd w:id="5"/>
      <w:r/>
      <w:bookmarkEnd w:id="6"/>
      <w:r/>
      <w:r/>
    </w:p>
    <w:p>
      <w:pPr>
        <w:ind w:left="567"/>
        <w:jc w:val="both"/>
        <w:widowControl w:val="off"/>
      </w:pPr>
      <w:r/>
      <w:bookmarkStart w:id="7" w:name="bssPhr127"/>
      <w:r/>
      <w:bookmarkEnd w:id="7"/>
      <w:r>
        <w:rPr>
          <w:i/>
          <w:lang w:val="en-US"/>
        </w:rPr>
        <w:t xml:space="preserve">i</w:t>
      </w:r>
      <w:r>
        <w:t xml:space="preserve"> - номер источника ценовой информации;</w:t>
      </w:r>
      <w:bookmarkStart w:id="8" w:name="ZAP2IAS3MT"/>
      <w:r/>
      <w:bookmarkStart w:id="9" w:name="ZAP2NPE3OE"/>
      <w:r/>
      <w:bookmarkEnd w:id="8"/>
      <w:r/>
      <w:bookmarkEnd w:id="9"/>
      <w:r/>
      <w:r/>
    </w:p>
    <w:p>
      <w:pPr>
        <w:ind w:left="567"/>
        <w:jc w:val="both"/>
        <w:widowControl w:val="off"/>
        <w:rPr>
          <w:rFonts w:eastAsia="Times New Roman"/>
          <w:u w:val="single"/>
        </w:rPr>
      </w:pPr>
      <w:r>
        <w:rPr>
          <w:rFonts w:eastAsia="Times New Roman"/>
          <w:u w:val="single"/>
        </w:rPr>
      </w:r>
      <w:r>
        <w:rPr>
          <w:rFonts w:eastAsia="Times New Roman"/>
          <w:u w:val="single"/>
        </w:rPr>
      </w:r>
      <w:r>
        <w:rPr>
          <w:rFonts w:eastAsia="Times New Roman"/>
          <w:u w:val="single"/>
        </w:rPr>
      </w:r>
    </w:p>
    <w:p>
      <w:pPr>
        <w:ind w:left="567"/>
        <w:jc w:val="both"/>
        <w:widowControl w:val="off"/>
        <w:rPr>
          <w:rFonts w:eastAsia="Times New Roman"/>
          <w:u w:val="single"/>
        </w:rPr>
      </w:pPr>
      <w:r>
        <w:rPr>
          <w:rFonts w:eastAsia="Times New Roman"/>
          <w:u w:val="single"/>
        </w:rPr>
        <w:t xml:space="preserve">Однородность совокупности значений цен, используемых в расчете начальной (максимальной) цены контракта определяется вычислением коэффициента вариации попозиционно, на каждый вид товара в отдельности. </w:t>
      </w:r>
      <w:r>
        <w:rPr>
          <w:rFonts w:eastAsia="Times New Roman"/>
          <w:u w:val="single"/>
        </w:rPr>
      </w:r>
      <w:r>
        <w:rPr>
          <w:rFonts w:eastAsia="Times New Roman"/>
          <w:u w:val="single"/>
        </w:rPr>
      </w:r>
    </w:p>
    <w:p>
      <w:pPr>
        <w:ind w:left="0" w:right="0" w:firstLine="720"/>
        <w:jc w:val="both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0" w:right="0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Коэффициент вариации цены определен по следующей формуле: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09675" cy="457200"/>
                <wp:effectExtent l="0" t="0" r="9525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2096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95.25pt;height:36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w:t xml:space="preserve">где: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w:t xml:space="preserve">V </w:t>
      </w:r>
      <w:r>
        <w:rPr>
          <w:rFonts w:eastAsia="Times New Roman"/>
        </w:rPr>
        <w:t xml:space="preserve">- коэффициент вариации;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  <w:i/>
        </w:rPr>
        <w:t xml:space="preserve">σ</w:t>
      </w:r>
      <w:r>
        <w:rPr>
          <w:rFonts w:eastAsia="Times New Roman"/>
        </w:rPr>
        <w:t xml:space="preserve"> – среднее квадратичное отклонение;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w:t xml:space="preserve">&lt;</w:t>
      </w:r>
      <w:r>
        <w:rPr>
          <w:rFonts w:eastAsia="Times New Roman"/>
          <w:i/>
        </w:rPr>
        <w:t xml:space="preserve">ц</w:t>
      </w:r>
      <w:r>
        <w:rPr>
          <w:rFonts w:eastAsia="Times New Roman"/>
        </w:rPr>
        <w:t xml:space="preserve">&gt; - средняя арифметическая величина цены единицы товара, работы, 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  <w:color w:val="ff0000"/>
        </w:rPr>
      </w:pPr>
      <w:r>
        <w:rPr>
          <w:rFonts w:eastAsia="Times New Roman"/>
          <w:color w:val="ff0000"/>
        </w:rPr>
      </w:r>
      <w:r>
        <w:rPr>
          <w:rFonts w:eastAsia="Times New Roman"/>
          <w:color w:val="ff0000"/>
        </w:rPr>
      </w:r>
      <w:r>
        <w:rPr>
          <w:rFonts w:eastAsia="Times New Roman"/>
          <w:color w:val="ff0000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90675" cy="542925"/>
                <wp:effectExtent l="0" t="0" r="9525" b="952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590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5.25pt;height:42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  <w:t xml:space="preserve">где: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  <w:i/>
        </w:rPr>
        <w:t xml:space="preserve">ц</w:t>
      </w:r>
      <w:r>
        <w:rPr>
          <w:rFonts w:eastAsia="Times New Roman"/>
          <w:i/>
          <w:vertAlign w:val="subscript"/>
        </w:rPr>
        <w:t xml:space="preserve">i</w:t>
      </w:r>
      <w:r>
        <w:rPr>
          <w:rFonts w:eastAsia="Times New Roman"/>
        </w:rPr>
        <w:t xml:space="preserve"> - цена единицы товара, работы, услуги, указанная в источнике с номером i;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  <w:i/>
        </w:rPr>
        <w:t xml:space="preserve">n</w:t>
      </w:r>
      <w:r>
        <w:rPr>
          <w:rFonts w:eastAsia="Times New Roman"/>
        </w:rPr>
        <w:t xml:space="preserve"> - количество значений, используемых в расчете.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567"/>
        <w:rPr>
          <w:rFonts w:eastAsia="Times New Roman"/>
        </w:rPr>
      </w:pPr>
      <w:r>
        <w:rPr>
          <w:rFonts w:eastAsia="Times New Roman"/>
          <w:color w:val="000000"/>
        </w:rPr>
        <w:t xml:space="preserve">Подробный расчет начальной (максимальной) цены контракта представлен в таблице.</w:t>
      </w:r>
      <w:r>
        <w:rPr>
          <w:rFonts w:eastAsia="Times New Roman"/>
        </w:rPr>
      </w:r>
      <w:r>
        <w:rPr>
          <w:rFonts w:eastAsia="Times New Roman"/>
        </w:rPr>
      </w:r>
    </w:p>
    <w:tbl>
      <w:tblPr>
        <w:tblW w:w="15124" w:type="dxa"/>
        <w:tblLayout w:type="fixed"/>
        <w:tblLook w:val="04A0" w:firstRow="1" w:lastRow="0" w:firstColumn="1" w:lastColumn="0" w:noHBand="0" w:noVBand="1"/>
      </w:tblPr>
      <w:tblGrid>
        <w:gridCol w:w="625"/>
        <w:gridCol w:w="4194"/>
        <w:gridCol w:w="1701"/>
        <w:gridCol w:w="1409"/>
        <w:gridCol w:w="1210"/>
        <w:gridCol w:w="1094"/>
        <w:gridCol w:w="1094"/>
        <w:gridCol w:w="1075"/>
        <w:gridCol w:w="996"/>
        <w:gridCol w:w="660"/>
        <w:gridCol w:w="1067"/>
      </w:tblGrid>
      <w:tr>
        <w:tblPrEx/>
        <w:trPr>
          <w:trHeight w:val="510"/>
        </w:trPr>
        <w:tc>
          <w:tcPr>
            <w:gridSpan w:val="11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2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/>
            <w:bookmarkStart w:id="10" w:name="RANGE!A1:M5"/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Определение коэффициента вариации</w:t>
            </w:r>
            <w:bookmarkEnd w:id="10"/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50"/>
        </w:trPr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62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№ п/п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9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Наименование товара, работ, услуг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d9d9d9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432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Цена за единицу в соответствии с источником информации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94" w:type="dxa"/>
            <w:vAlign w:val="center"/>
            <w:vMerge w:val="restart"/>
            <w:textDirection w:val="btLr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Сумма трех цен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4" w:type="dxa"/>
            <w:vAlign w:val="center"/>
            <w:vMerge w:val="restart"/>
            <w:textDirection w:val="btLr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Среднее арифметическое трех цен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dxa"/>
            <w:vAlign w:val="center"/>
            <w:vMerge w:val="restart"/>
            <w:textDirection w:val="btLr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Среднее квадратичное отклонение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6" w:type="dxa"/>
            <w:vAlign w:val="center"/>
            <w:vMerge w:val="restart"/>
            <w:textDirection w:val="btLr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Коэффициент вариации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restart"/>
            <w:textDirection w:val="btLr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кол-во (шт.)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7" w:type="dxa"/>
            <w:vAlign w:val="center"/>
            <w:vMerge w:val="restart"/>
            <w:textDirection w:val="btLr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Общая сумма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625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94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d9d9d9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Источник №1 </w:t>
            </w:r>
            <w:r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r>
          </w:p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(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контракт в ЕИС с реестровым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№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1622803142326000007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от 08.04.2026)</w:t>
            </w:r>
            <w:r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r>
            <w:r/>
          </w:p>
        </w:tc>
        <w:tc>
          <w:tcPr>
            <w:shd w:val="clear" w:color="000000" w:fill="d9d9d9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Источник №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2 (контракт в ЕИС с реестровым №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2673100432226000088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r>
          </w:p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от 01.06.2026)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r>
          </w:p>
        </w:tc>
        <w:tc>
          <w:tcPr>
            <w:shd w:val="clear" w:color="000000" w:fill="d9d9d9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Источник №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3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(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ответ на запрос от 17.06.2026 № 09-05128@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)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94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4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6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7" w:type="dxa"/>
            <w:vAlign w:val="center"/>
            <w:vMerge w:val="continue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blPrEx/>
        <w:trPr>
          <w:trHeight w:val="780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  <w:r>
              <w:rPr>
                <w:rFonts w:eastAsia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4" w:type="dxa"/>
            <w:vAlign w:val="center"/>
            <w:textDirection w:val="lrTb"/>
            <w:noWrap w:val="false"/>
          </w:tcPr>
          <w:p>
            <w:pPr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Поставка противогазов гражданских ГП-7Б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7320,0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5626,32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5680,00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4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18626,32</w:t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4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6208,77</w:t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7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962,72</w:t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6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15,5%</w:t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50</w: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7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310438,50</w: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>
          <w:trHeight w:val="390"/>
        </w:trPr>
        <w:tc>
          <w:tcPr>
            <w:gridSpan w:val="9"/>
            <w:shd w:val="clear" w:color="000000" w:fill="ffffff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000000" w:sz="4" w:space="0"/>
            </w:tcBorders>
            <w:tcW w:w="13397" w:type="dxa"/>
            <w:vAlign w:val="bottom"/>
            <w:textDirection w:val="lrTb"/>
            <w:noWrap/>
          </w:tcPr>
          <w:p>
            <w:pPr>
              <w:ind w:left="0" w:right="0" w:firstLine="0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Итого</w:t>
            </w:r>
            <w:r>
              <w:rPr>
                <w:rFonts w:eastAsia="Times New Roman"/>
                <w:b/>
                <w:bCs/>
                <w:sz w:val="28"/>
                <w:szCs w:val="28"/>
              </w:rPr>
            </w:r>
            <w:r>
              <w:rPr>
                <w:rFonts w:eastAsia="Times New Roman"/>
                <w:b/>
                <w:bCs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660" w:type="dxa"/>
            <w:vAlign w:val="bottom"/>
            <w:textDirection w:val="lrTb"/>
            <w:noWrap/>
          </w:tcPr>
          <w:p>
            <w:pPr>
              <w:ind w:left="0" w:right="0" w:firstLine="0"/>
              <w:jc w:val="right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50</w:t>
            </w:r>
            <w:r>
              <w:rPr>
                <w:rFonts w:eastAsia="Times New Roman"/>
                <w:b/>
                <w:bCs/>
                <w:sz w:val="28"/>
                <w:szCs w:val="28"/>
              </w:rPr>
            </w:r>
            <w:r>
              <w:rPr>
                <w:rFonts w:eastAsia="Times New Roman"/>
                <w:b/>
                <w:bCs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067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310438,50</w: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</w:tbl>
    <w:p>
      <w:pPr>
        <w:ind w:left="0" w:right="0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З</w:t>
      </w:r>
      <w:r>
        <w:rPr>
          <w:rFonts w:eastAsia="Times New Roman"/>
        </w:rPr>
        <w:t xml:space="preserve">начение коэффициента вариации цен составляет </w:t>
      </w:r>
      <w:r>
        <w:rPr>
          <w:rFonts w:eastAsia="Times New Roman"/>
        </w:rPr>
        <w:t xml:space="preserve">15,5%</w:t>
      </w:r>
      <w:r>
        <w:rPr>
          <w:rFonts w:eastAsia="Times New Roman"/>
        </w:rPr>
        <w:t xml:space="preserve"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Т</w:t>
      </w:r>
      <w:r>
        <w:rPr>
          <w:rFonts w:eastAsia="Times New Roman"/>
        </w:rPr>
        <w:t xml:space="preserve">аким образом, выявлена однородность совокупности значений, используемых в расчете при определении НМЦК. 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ind w:left="0" w:right="0" w:firstLine="720"/>
        <w:jc w:val="both"/>
        <w:rPr>
          <w:rFonts w:eastAsia="Times New Roman"/>
          <w14:ligatures w14:val="none"/>
        </w:rPr>
      </w:pPr>
      <w:r>
        <w:rPr>
          <w:rFonts w:eastAsia="Times New Roman"/>
        </w:rPr>
        <w:t xml:space="preserve">Начальная (максимальная) цена контракта рассчитана методом сопоставимых рыночных цен (анализ рынка) и с учетом предельных объемов бюджетных ассигнований на реализацию данного мероприятия</w:t>
      </w:r>
      <w:r>
        <w:rPr>
          <w:rFonts w:eastAsia="Times New Roman"/>
        </w:rPr>
        <w:t xml:space="preserve"> и норм положенности, установленных </w:t>
      </w:r>
      <w:r>
        <w:rPr>
          <w:rFonts w:eastAsia="Times New Roman"/>
        </w:rPr>
        <w:t xml:space="preserve">п</w:t>
      </w:r>
      <w:r>
        <w:rPr>
          <w:rFonts w:eastAsia="Times New Roman"/>
          <w:lang w:eastAsia="ru-RU"/>
        </w:rPr>
        <w:t xml:space="preserve">риказ</w:t>
      </w:r>
      <w:r>
        <w:rPr>
          <w:rFonts w:eastAsia="Times New Roman"/>
          <w:lang w:eastAsia="ru-RU"/>
        </w:rPr>
        <w:t xml:space="preserve">ом</w:t>
      </w:r>
      <w:r>
        <w:rPr>
          <w:rFonts w:eastAsia="Times New Roman"/>
          <w:lang w:eastAsia="ru-RU"/>
        </w:rPr>
        <w:t xml:space="preserve"> Росреестра от 29.12.2014 № П/651 «Об утверждении расчетно-нормативных затрат на обеспечение деятельности территориальных органов Федеральной службы государственной регистрации, кадастра и к</w:t>
      </w:r>
      <w:r>
        <w:rPr>
          <w:rFonts w:eastAsia="Times New Roman"/>
          <w:lang w:eastAsia="ru-RU"/>
        </w:rPr>
        <w:t xml:space="preserve">артографии» </w:t>
      </w:r>
      <w:r>
        <w:rPr>
          <w:rFonts w:eastAsia="Times New Roman"/>
        </w:rPr>
        <w:t xml:space="preserve">составляет </w:t>
      </w:r>
      <w:r>
        <w:rPr>
          <w:rFonts w:eastAsia="Times New Roman"/>
        </w:rPr>
        <w:t xml:space="preserve">250 000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рублей</w:t>
      </w:r>
      <w:r>
        <w:rPr>
          <w:rFonts w:eastAsia="Times New Roman"/>
        </w:rPr>
        <w:t xml:space="preserve"> (из расчета 5000 рублей за 1 штуку).</w:t>
      </w:r>
      <w:r>
        <w:rPr>
          <w:rFonts w:eastAsia="Times New Roman"/>
          <w14:ligatures w14:val="none"/>
        </w:rPr>
      </w:r>
      <w:r>
        <w:rPr>
          <w:rFonts w:eastAsia="Times New Roman"/>
          <w14:ligatures w14:val="none"/>
        </w:rPr>
      </w:r>
    </w:p>
    <w:p>
      <w:pPr>
        <w:pStyle w:val="847"/>
        <w:ind w:right="-170" w:firstLine="567"/>
        <w:jc w:val="both"/>
        <w:spacing w:before="0" w:beforeAutospacing="0" w:after="0" w:afterAutospacing="0"/>
        <w:rPr>
          <w:rFonts w:eastAsia="Times New Roman"/>
          <w:b/>
          <w:sz w:val="26"/>
          <w:szCs w:val="26"/>
        </w:rPr>
      </w:pPr>
      <w:r>
        <w:rPr>
          <w:i/>
          <w:sz w:val="26"/>
          <w:szCs w:val="26"/>
          <w:u w:val="single"/>
        </w:rPr>
        <w:t xml:space="preserve">НМЦК включает все расходы, которые может понести Исполнитель при осуществлении им своих обязательств в полном объеме и надлежащего качества, в том числе все подлежащие уплате налоги, сборы и другие обязательные платежи, а также иные расходы, связанные с </w:t>
      </w:r>
      <w:r>
        <w:rPr>
          <w:i/>
          <w:sz w:val="26"/>
          <w:szCs w:val="26"/>
          <w:u w:val="single"/>
        </w:rPr>
        <w:t xml:space="preserve">оказанием у</w:t>
      </w:r>
      <w:r>
        <w:rPr>
          <w:i/>
          <w:sz w:val="26"/>
          <w:szCs w:val="26"/>
          <w:u w:val="single"/>
        </w:rPr>
        <w:t xml:space="preserve">слу</w:t>
      </w:r>
      <w:r>
        <w:rPr>
          <w:i/>
          <w:sz w:val="26"/>
          <w:szCs w:val="26"/>
          <w:u w:val="single"/>
        </w:rPr>
        <w:t xml:space="preserve">г</w:t>
      </w:r>
      <w:r>
        <w:rPr>
          <w:i/>
          <w:sz w:val="26"/>
          <w:szCs w:val="26"/>
          <w:u w:val="single"/>
        </w:rPr>
        <w:t xml:space="preserve">.</w:t>
      </w:r>
      <w:r>
        <w:rPr>
          <w:rFonts w:eastAsia="Times New Roman"/>
          <w:b/>
          <w:sz w:val="26"/>
          <w:szCs w:val="26"/>
        </w:rPr>
      </w:r>
      <w:r>
        <w:rPr>
          <w:rFonts w:eastAsia="Times New Roman"/>
          <w:b/>
          <w:sz w:val="26"/>
          <w:szCs w:val="26"/>
        </w:rPr>
      </w:r>
    </w:p>
    <w:sectPr>
      <w:footnotePr/>
      <w:endnotePr/>
      <w:type w:val="nextPage"/>
      <w:pgSz w:w="16838" w:h="11906" w:orient="landscape"/>
      <w:pgMar w:top="709" w:right="1134" w:bottom="850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7"/>
    <w:next w:val="837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basedOn w:val="838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7"/>
    <w:next w:val="837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38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7"/>
    <w:next w:val="837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38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7"/>
    <w:next w:val="837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38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7"/>
    <w:next w:val="837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38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7"/>
    <w:next w:val="837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38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7"/>
    <w:next w:val="837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38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7"/>
    <w:next w:val="837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38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7"/>
    <w:next w:val="837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38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7"/>
    <w:next w:val="837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8"/>
    <w:link w:val="681"/>
    <w:uiPriority w:val="10"/>
    <w:rPr>
      <w:sz w:val="48"/>
      <w:szCs w:val="48"/>
    </w:rPr>
  </w:style>
  <w:style w:type="paragraph" w:styleId="683">
    <w:name w:val="Subtitle"/>
    <w:basedOn w:val="837"/>
    <w:next w:val="837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38"/>
    <w:link w:val="683"/>
    <w:uiPriority w:val="11"/>
    <w:rPr>
      <w:sz w:val="24"/>
      <w:szCs w:val="24"/>
    </w:rPr>
  </w:style>
  <w:style w:type="paragraph" w:styleId="685">
    <w:name w:val="Quote"/>
    <w:basedOn w:val="837"/>
    <w:next w:val="837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7"/>
    <w:next w:val="837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7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basedOn w:val="838"/>
    <w:link w:val="689"/>
    <w:uiPriority w:val="99"/>
  </w:style>
  <w:style w:type="paragraph" w:styleId="691">
    <w:name w:val="Footer"/>
    <w:basedOn w:val="837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basedOn w:val="838"/>
    <w:link w:val="691"/>
    <w:uiPriority w:val="99"/>
  </w:style>
  <w:style w:type="paragraph" w:styleId="693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691"/>
    <w:uiPriority w:val="99"/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8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8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  <w:pPr>
      <w:ind w:left="1134" w:right="567" w:firstLine="709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table" w:styleId="841">
    <w:name w:val="Table Grid"/>
    <w:basedOn w:val="839"/>
    <w:uiPriority w:val="39"/>
    <w:pPr>
      <w:spacing w:after="0" w:line="240" w:lineRule="auto"/>
    </w:pPr>
    <w:rPr>
      <w:rFonts w:cs="Times New Roman"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2">
    <w:name w:val="List Paragraph"/>
    <w:basedOn w:val="837"/>
    <w:uiPriority w:val="34"/>
    <w:qFormat/>
    <w:pPr>
      <w:contextualSpacing/>
      <w:ind w:left="720"/>
    </w:pPr>
  </w:style>
  <w:style w:type="character" w:styleId="843">
    <w:name w:val="Hyperlink"/>
    <w:basedOn w:val="838"/>
    <w:uiPriority w:val="99"/>
    <w:unhideWhenUsed/>
    <w:rPr>
      <w:color w:val="0000ff" w:themeColor="hyperlink"/>
      <w:u w:val="single"/>
    </w:rPr>
  </w:style>
  <w:style w:type="paragraph" w:styleId="844">
    <w:name w:val="Normal (Web)"/>
    <w:basedOn w:val="837"/>
    <w:uiPriority w:val="99"/>
    <w:pPr>
      <w:ind w:left="0" w:right="0" w:firstLine="0"/>
      <w:spacing w:before="100" w:beforeAutospacing="1" w:after="100" w:afterAutospacing="1"/>
    </w:pPr>
    <w:rPr>
      <w:rFonts w:eastAsia="Times New Roman"/>
    </w:rPr>
  </w:style>
  <w:style w:type="paragraph" w:styleId="845">
    <w:name w:val="Balloon Text"/>
    <w:basedOn w:val="837"/>
    <w:link w:val="846"/>
    <w:uiPriority w:val="99"/>
    <w:semiHidden/>
    <w:unhideWhenUsed/>
    <w:rPr>
      <w:rFonts w:ascii="Tahoma" w:hAnsi="Tahoma" w:cs="Tahoma"/>
      <w:sz w:val="16"/>
      <w:szCs w:val="16"/>
    </w:rPr>
  </w:style>
  <w:style w:type="character" w:styleId="846" w:customStyle="1">
    <w:name w:val="Текст выноски Знак"/>
    <w:basedOn w:val="838"/>
    <w:link w:val="845"/>
    <w:uiPriority w:val="99"/>
    <w:semiHidden/>
    <w:rPr>
      <w:rFonts w:ascii="Tahoma" w:hAnsi="Tahoma" w:eastAsia="Calibri" w:cs="Tahoma"/>
      <w:sz w:val="16"/>
      <w:szCs w:val="16"/>
      <w:lang w:eastAsia="ru-RU"/>
    </w:rPr>
  </w:style>
  <w:style w:type="paragraph" w:styleId="847" w:customStyle="1">
    <w:name w:val="formattext"/>
    <w:basedOn w:val="837"/>
    <w:pPr>
      <w:ind w:left="0" w:right="0" w:firstLine="0"/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image" Target="media/image2.wmf"/><Relationship Id="rId12" Type="http://schemas.openxmlformats.org/officeDocument/2006/relationships/image" Target="media/image3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EFB35-781F-467D-A38B-EF0E5700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Microsoft Corporation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revision>12</cp:revision>
  <dcterms:created xsi:type="dcterms:W3CDTF">2025-01-29T15:22:00Z</dcterms:created>
  <dcterms:modified xsi:type="dcterms:W3CDTF">2026-10-06T06:09:41Z</dcterms:modified>
</cp:coreProperties>
</file>