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spacing w:after="0" w:line="240" w:lineRule="auto"/>
        <w:jc w:val="center"/>
        <w:rPr>
          <w:rFonts w:ascii="Times New Roman" w:hAnsi="Times New Roman"/>
          <w:b/>
          <w:sz w:val="24"/>
          <w:szCs w:val="24"/>
        </w:rPr>
      </w:pPr>
      <w:r>
        <w:rPr>
          <w:rFonts w:ascii="Times New Roman" w:hAnsi="Times New Roman"/>
          <w:b/>
          <w:sz w:val="24"/>
          <w:szCs w:val="24"/>
        </w:rPr>
        <w:t xml:space="preserve">Требования к содержанию, составу заявки на участие</w:t>
      </w:r>
    </w:p>
    <w:p>
      <w:pPr>
        <w:spacing w:after="0" w:line="240" w:lineRule="auto"/>
        <w:jc w:val="center"/>
        <w:rPr>
          <w:rFonts w:ascii="Times New Roman" w:hAnsi="Times New Roman"/>
          <w:b/>
          <w:sz w:val="24"/>
          <w:szCs w:val="24"/>
        </w:rPr>
      </w:pPr>
      <w:r>
        <w:rPr>
          <w:rFonts w:ascii="Times New Roman" w:hAnsi="Times New Roman"/>
          <w:b/>
          <w:sz w:val="24"/>
          <w:szCs w:val="24"/>
        </w:rPr>
        <w:t xml:space="preserve">в электронном аукционе в соответствии с Законом N 44-ФЗ</w:t>
      </w:r>
    </w:p>
    <w:p>
      <w:pPr>
        <w:spacing w:after="0" w:line="240" w:lineRule="auto"/>
        <w:jc w:val="center"/>
        <w:rPr>
          <w:rFonts w:ascii="Times New Roman" w:hAnsi="Times New Roman"/>
          <w:b/>
          <w:sz w:val="24"/>
          <w:szCs w:val="24"/>
        </w:rPr>
      </w:pPr>
      <w:r>
        <w:rPr>
          <w:rFonts w:ascii="Times New Roman" w:hAnsi="Times New Roman"/>
          <w:b/>
          <w:sz w:val="24"/>
          <w:szCs w:val="24"/>
        </w:rPr>
        <w:t xml:space="preserve">и инструкция по ее заполнению</w:t>
      </w:r>
    </w:p>
    <w:p>
      <w:pPr>
        <w:spacing w:after="0" w:line="240" w:lineRule="auto"/>
        <w:jc w:val="center"/>
        <w:rPr>
          <w:rFonts w:ascii="Times New Roman" w:hAnsi="Times New Roman"/>
          <w:b/>
          <w:sz w:val="24"/>
          <w:szCs w:val="24"/>
        </w:rPr>
      </w:pPr>
    </w:p>
    <w:p>
      <w:pPr>
        <w:spacing w:after="0" w:line="240" w:lineRule="auto"/>
        <w:jc w:val="both"/>
        <w:rPr>
          <w:rFonts w:ascii="Times New Roman" w:hAnsi="Times New Roman"/>
          <w:b/>
          <w:sz w:val="24"/>
          <w:szCs w:val="24"/>
        </w:rPr>
      </w:pPr>
      <w:r>
        <w:rPr>
          <w:rFonts w:ascii="Times New Roman" w:hAnsi="Times New Roman"/>
          <w:b/>
          <w:sz w:val="24"/>
          <w:szCs w:val="24"/>
        </w:rPr>
        <w:t xml:space="preserve">1. Требования к содержанию, составу заявки на участие в электронном аукционе</w:t>
      </w:r>
    </w:p>
    <w:p>
      <w:pPr>
        <w:spacing w:after="0" w:line="240" w:lineRule="auto"/>
        <w:jc w:val="both"/>
        <w:rPr>
          <w:rFonts w:ascii="Times New Roman" w:hAnsi="Times New Roman"/>
          <w:sz w:val="24"/>
          <w:szCs w:val="24"/>
        </w:rPr>
      </w:pPr>
    </w:p>
    <w:p>
      <w:pPr>
        <w:spacing w:after="0" w:line="240" w:lineRule="auto"/>
        <w:jc w:val="both"/>
        <w:rPr>
          <w:rFonts w:ascii="Times New Roman" w:hAnsi="Times New Roman"/>
          <w:sz w:val="24"/>
          <w:szCs w:val="24"/>
        </w:rPr>
      </w:pPr>
      <w:r>
        <w:rPr>
          <w:rFonts w:ascii="Times New Roman" w:hAnsi="Times New Roman"/>
          <w:sz w:val="24"/>
          <w:szCs w:val="24"/>
        </w:rPr>
        <w:t xml:space="preserve">Заявка на участие в электронном аукционе должна содержать следующую информацию и документы (ч. 1 ст. 49 Закона N 44-ФЗ):</w:t>
      </w:r>
    </w:p>
    <w:p>
      <w:pPr>
        <w:pStyle w:val="ConsNormal"/>
        <w:rPr>
          <w:rFonts w:ascii="Times New Roman" w:hAnsi="Times New Roman" w:cs="Times New Roman"/>
          <w:sz w:val="24"/>
          <w:szCs w:val="24"/>
          <w:lang w:eastAsia="en-US"/>
        </w:rPr>
      </w:pPr>
      <w:r>
        <w:rPr>
          <w:rFonts w:ascii="Times New Roman" w:hAnsi="Times New Roman" w:cs="Times New Roman"/>
          <w:sz w:val="24"/>
          <w:szCs w:val="24"/>
          <w:lang w:eastAsia="en-US"/>
        </w:rPr>
        <w:t xml:space="preserve">1) об участнике закупки:</w:t>
      </w:r>
    </w:p>
    <w:p>
      <w:pPr>
        <w:pStyle w:val="ConsNormal"/>
        <w:numPr>
          <w:numId w:val="2"/>
          <w:ilvl w:val="0"/>
        </w:numPr>
        <w:tabs>
          <w:tab w:val="clear" w:pos="540"/>
        </w:tabs>
        <w:rPr>
          <w:rFonts w:ascii="Times New Roman" w:hAnsi="Times New Roman" w:cs="Times New Roman"/>
          <w:sz w:val="24"/>
          <w:szCs w:val="24"/>
          <w:lang w:eastAsia="en-US"/>
        </w:rPr>
      </w:pPr>
      <w:r>
        <w:rPr>
          <w:rFonts w:ascii="Times New Roman" w:hAnsi="Times New Roman" w:cs="Times New Roman"/>
          <w:sz w:val="24"/>
          <w:szCs w:val="24"/>
          <w:lang w:eastAsia="en-US"/>
        </w:rPr>
        <w:t xml:space="preserve">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по результатам проведения электронного аукциона либо внесение денежных средств в качестве обеспечения заявки на участие в закупке, обеспечения исполнения контракта является крупной сделкой;</w:t>
      </w:r>
    </w:p>
    <w:p>
      <w:pPr>
        <w:pStyle w:val="ConsNormal"/>
        <w:numPr>
          <w:numId w:val="2"/>
          <w:ilvl w:val="0"/>
        </w:numPr>
        <w:tabs>
          <w:tab w:val="clear" w:pos="540"/>
        </w:tabs>
        <w:rPr>
          <w:rFonts w:ascii="Times New Roman" w:hAnsi="Times New Roman" w:cs="Times New Roman"/>
          <w:sz w:val="24"/>
          <w:szCs w:val="24"/>
          <w:lang w:eastAsia="en-US"/>
        </w:rPr>
      </w:pPr>
      <w:r>
        <w:rPr>
          <w:rFonts w:ascii="Times New Roman" w:hAnsi="Times New Roman" w:cs="Times New Roman"/>
          <w:sz w:val="24"/>
          <w:szCs w:val="24"/>
          <w:lang w:eastAsia="en-US"/>
        </w:rPr>
        <w:t xml:space="preserve">информацию о соответствии участника следующим требованиям:</w:t>
      </w:r>
    </w:p>
    <w:p>
      <w:pPr>
        <w:pStyle w:val="ConsNormal"/>
        <w:numPr>
          <w:numId w:val="2"/>
          <w:ilvl w:val="1"/>
        </w:numPr>
        <w:tabs>
          <w:tab w:val="clear" w:pos="1080"/>
        </w:tabs>
        <w:rPr>
          <w:rFonts w:ascii="Times New Roman" w:hAnsi="Times New Roman" w:cs="Times New Roman"/>
          <w:sz w:val="24"/>
          <w:szCs w:val="24"/>
          <w:lang w:eastAsia="en-US"/>
        </w:rPr>
      </w:pPr>
      <w:r>
        <w:rPr>
          <w:rFonts w:ascii="Times New Roman" w:hAnsi="Times New Roman" w:cs="Times New Roman"/>
          <w:sz w:val="24"/>
          <w:szCs w:val="24"/>
          <w:lang w:eastAsia="en-US"/>
        </w:rPr>
        <w:t xml:space="preserve">непроведение</w:t>
      </w:r>
      <w:r>
        <w:rPr>
          <w:rFonts w:ascii="Times New Roman" w:hAnsi="Times New Roman" w:cs="Times New Roman"/>
          <w:sz w:val="24"/>
          <w:szCs w:val="24"/>
          <w:lang w:eastAsia="en-U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pPr>
        <w:pStyle w:val="ConsNormal"/>
        <w:numPr>
          <w:numId w:val="2"/>
          <w:ilvl w:val="1"/>
        </w:numPr>
        <w:tabs>
          <w:tab w:val="clear" w:pos="1080"/>
        </w:tabs>
        <w:rPr>
          <w:rFonts w:ascii="Times New Roman" w:hAnsi="Times New Roman" w:cs="Times New Roman"/>
          <w:sz w:val="24"/>
          <w:szCs w:val="24"/>
          <w:lang w:eastAsia="en-US"/>
        </w:rPr>
      </w:pPr>
      <w:r>
        <w:rPr>
          <w:rFonts w:ascii="Times New Roman" w:hAnsi="Times New Roman" w:cs="Times New Roman"/>
          <w:sz w:val="24"/>
          <w:szCs w:val="24"/>
          <w:lang w:eastAsia="en-US"/>
        </w:rPr>
        <w:t xml:space="preserve">неприостановление</w:t>
      </w:r>
      <w:r>
        <w:rPr>
          <w:rFonts w:ascii="Times New Roman" w:hAnsi="Times New Roman" w:cs="Times New Roman"/>
          <w:sz w:val="24"/>
          <w:szCs w:val="24"/>
          <w:lang w:eastAsia="en-US"/>
        </w:rPr>
        <w:t xml:space="preserve"> деятельности участника з</w:t>
      </w:r>
      <w:r>
        <w:rPr>
          <w:rFonts w:ascii="Times New Roman" w:hAnsi="Times New Roman" w:cs="Times New Roman"/>
          <w:sz w:val="24"/>
          <w:szCs w:val="24"/>
          <w:lang w:eastAsia="en-US"/>
        </w:rPr>
        <w:t xml:space="preserve">акупки в порядке, установленном</w:t>
      </w:r>
      <w:r>
        <w:rPr>
          <w:rFonts w:ascii="Times New Roman" w:hAnsi="Times New Roman" w:cs="Times New Roman"/>
          <w:sz w:val="24"/>
          <w:szCs w:val="24"/>
          <w:lang w:eastAsia="en-US"/>
        </w:rPr>
        <w:t xml:space="preserve"> Кодексом Российской Федерации об административных правонарушениях;</w:t>
      </w:r>
    </w:p>
    <w:p>
      <w:pPr>
        <w:pStyle w:val="ConsNormal"/>
        <w:numPr>
          <w:numId w:val="2"/>
          <w:ilvl w:val="1"/>
        </w:numPr>
        <w:tabs>
          <w:tab w:val="clear" w:pos="1080"/>
        </w:tabs>
        <w:rPr>
          <w:rFonts w:ascii="Times New Roman" w:hAnsi="Times New Roman" w:cs="Times New Roman"/>
          <w:sz w:val="24"/>
          <w:szCs w:val="24"/>
          <w:lang w:eastAsia="en-US"/>
        </w:rPr>
      </w:pPr>
      <w:r>
        <w:rPr>
          <w:rFonts w:ascii="Times New Roman" w:hAnsi="Times New Roman" w:cs="Times New Roman"/>
          <w:sz w:val="24"/>
          <w:szCs w:val="24"/>
          <w:lang w:eastAsia="en-US"/>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этому требованию в случае, если он в установленном порядке подал заявление об обжаловании указанных недоимки, задолженности и решение по такому заявлению на дату рассмотрения заявки на участие в электронном аукционе не принято;</w:t>
      </w:r>
    </w:p>
    <w:p>
      <w:pPr>
        <w:pStyle w:val="ConsNormal"/>
        <w:numPr>
          <w:numId w:val="2"/>
          <w:ilvl w:val="1"/>
        </w:numPr>
        <w:rPr>
          <w:rFonts w:ascii="Times New Roman" w:hAnsi="Times New Roman" w:cs="Times New Roman"/>
          <w:sz w:val="24"/>
          <w:szCs w:val="24"/>
          <w:lang w:eastAsia="en-US"/>
        </w:rPr>
      </w:pPr>
      <w:r>
        <w:rPr>
          <w:rFonts w:ascii="Times New Roman" w:hAnsi="Times New Roman" w:cs="Times New Roman"/>
          <w:sz w:val="24"/>
          <w:szCs w:val="24"/>
          <w:lang w:eastAsia="en-US"/>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 ст.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pStyle w:val="ConsNormal"/>
        <w:numPr>
          <w:numId w:val="2"/>
          <w:ilvl w:val="1"/>
        </w:numPr>
        <w:tabs>
          <w:tab w:val="clear" w:pos="1080"/>
        </w:tabs>
        <w:rPr>
          <w:rFonts w:ascii="Times New Roman" w:hAnsi="Times New Roman" w:cs="Times New Roman"/>
          <w:sz w:val="24"/>
          <w:szCs w:val="24"/>
          <w:lang w:eastAsia="en-US"/>
        </w:rPr>
      </w:pPr>
      <w:r>
        <w:rPr>
          <w:rFonts w:ascii="Times New Roman" w:hAnsi="Times New Roman" w:cs="Times New Roman"/>
          <w:sz w:val="24"/>
          <w:szCs w:val="24"/>
          <w:lang w:eastAsia="en-US"/>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 19.28 Кодекса Российской Федерации об административных правонарушениях;</w:t>
      </w:r>
    </w:p>
    <w:p>
      <w:pPr>
        <w:pStyle w:val="ConsNormal"/>
        <w:numPr>
          <w:numId w:val="2"/>
          <w:ilvl w:val="1"/>
        </w:numPr>
        <w:rPr>
          <w:rFonts w:ascii="Times New Roman" w:hAnsi="Times New Roman" w:cs="Times New Roman"/>
          <w:sz w:val="24"/>
          <w:szCs w:val="24"/>
          <w:lang w:eastAsia="en-US"/>
        </w:rPr>
      </w:pPr>
      <w:r>
        <w:rPr>
          <w:rFonts w:ascii="Times New Roman" w:hAnsi="Times New Roman" w:cs="Times New Roman"/>
          <w:sz w:val="24"/>
          <w:szCs w:val="24"/>
          <w:lang w:eastAsia="en-US"/>
        </w:rPr>
        <w:t xml:space="preserve">отсутствие </w:t>
      </w:r>
      <w:r>
        <w:rPr>
          <w:rFonts w:ascii="Times New Roman" w:hAnsi="Times New Roman" w:cs="Times New Roman"/>
          <w:sz w:val="24"/>
          <w:szCs w:val="24"/>
          <w:lang w:eastAsia="en-US"/>
        </w:rPr>
        <w:t xml:space="preserve">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r>
        <w:rPr>
          <w:rFonts w:ascii="Times New Roman" w:hAnsi="Times New Roman" w:cs="Times New Roman"/>
          <w:sz w:val="24"/>
          <w:szCs w:val="24"/>
          <w:lang w:eastAsia="en-US"/>
        </w:rPr>
        <w:t xml:space="preserve">неполнородный</w:t>
      </w:r>
      <w:r>
        <w:rPr>
          <w:rFonts w:ascii="Times New Roman" w:hAnsi="Times New Roman" w:cs="Times New Roman"/>
          <w:sz w:val="24"/>
          <w:szCs w:val="24"/>
          <w:lang w:eastAsia="en-US"/>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физлицом (в том числе зарегистрированным в </w:t>
      </w:r>
      <w:r>
        <w:rPr>
          <w:rFonts w:ascii="Times New Roman" w:hAnsi="Times New Roman" w:cs="Times New Roman"/>
          <w:sz w:val="24"/>
          <w:szCs w:val="24"/>
          <w:lang w:eastAsia="en-US"/>
        </w:rPr>
        <w:t xml:space="preserve">качестве индивидуального предпринимателя), являющимся участником закупки;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w:t>
      </w:r>
      <w:r>
        <w:rPr>
          <w:rFonts w:ascii="Times New Roman" w:hAnsi="Times New Roman" w:cs="Times New Roman"/>
          <w:sz w:val="24"/>
          <w:szCs w:val="24"/>
          <w:lang w:eastAsia="en-US"/>
        </w:rPr>
        <w:t xml:space="preserve">юрлица</w:t>
      </w:r>
      <w:r>
        <w:rPr>
          <w:rFonts w:ascii="Times New Roman" w:hAnsi="Times New Roman" w:cs="Times New Roman"/>
          <w:sz w:val="24"/>
          <w:szCs w:val="24"/>
          <w:lang w:eastAsia="en-US"/>
        </w:rPr>
        <w:t xml:space="preserve">, являющегося участником закупки.</w:t>
      </w:r>
    </w:p>
    <w:p>
      <w:pPr>
        <w:pStyle w:val="ConsNormal"/>
        <w:ind w:left="1080"/>
        <w:rPr>
          <w:rFonts w:ascii="Times New Roman" w:hAnsi="Times New Roman" w:cs="Times New Roman"/>
          <w:sz w:val="24"/>
          <w:szCs w:val="24"/>
          <w:lang w:eastAsia="en-US"/>
        </w:rPr>
      </w:pPr>
      <w:r>
        <w:rPr>
          <w:rFonts w:ascii="Times New Roman" w:hAnsi="Times New Roman" w:cs="Times New Roman"/>
          <w:sz w:val="24"/>
          <w:szCs w:val="24"/>
          <w:lang w:eastAsia="en-US"/>
        </w:rPr>
        <w:t xml:space="preserve">Выгодоприобретателем является физлицо, которое владеет напрямую или косвенно (через </w:t>
      </w:r>
      <w:r>
        <w:rPr>
          <w:rFonts w:ascii="Times New Roman" w:hAnsi="Times New Roman" w:cs="Times New Roman"/>
          <w:sz w:val="24"/>
          <w:szCs w:val="24"/>
          <w:lang w:eastAsia="en-US"/>
        </w:rPr>
        <w:t xml:space="preserve">юрлицо</w:t>
      </w:r>
      <w:r>
        <w:rPr>
          <w:rFonts w:ascii="Times New Roman" w:hAnsi="Times New Roman" w:cs="Times New Roman"/>
          <w:sz w:val="24"/>
          <w:szCs w:val="24"/>
          <w:lang w:eastAsia="en-US"/>
        </w:rPr>
        <w:t xml:space="preserve"> или че</w:t>
      </w:r>
      <w:r>
        <w:rPr>
          <w:rFonts w:ascii="Times New Roman" w:hAnsi="Times New Roman" w:cs="Times New Roman"/>
          <w:sz w:val="24"/>
          <w:szCs w:val="24"/>
          <w:lang w:eastAsia="en-US"/>
        </w:rPr>
        <w:t xml:space="preserve">рез несколько </w:t>
      </w:r>
      <w:r>
        <w:rPr>
          <w:rFonts w:ascii="Times New Roman" w:hAnsi="Times New Roman" w:cs="Times New Roman"/>
          <w:sz w:val="24"/>
          <w:szCs w:val="24"/>
          <w:lang w:eastAsia="en-US"/>
        </w:rPr>
        <w:t xml:space="preserve">юрлиц</w:t>
      </w:r>
      <w:r>
        <w:rPr>
          <w:rFonts w:ascii="Times New Roman" w:hAnsi="Times New Roman" w:cs="Times New Roman"/>
          <w:sz w:val="24"/>
          <w:szCs w:val="24"/>
          <w:lang w:eastAsia="en-US"/>
        </w:rPr>
        <w:t xml:space="preserve">) более чем 1</w:t>
      </w:r>
      <w:r>
        <w:rPr>
          <w:rFonts w:ascii="Times New Roman" w:hAnsi="Times New Roman" w:cs="Times New Roman"/>
          <w:sz w:val="24"/>
          <w:szCs w:val="24"/>
          <w:lang w:eastAsia="en-US"/>
        </w:rPr>
        <w:t xml:space="preserve">0% голосующих акций хозяйственного общества либо владеет напрямую или косвенно (через </w:t>
      </w:r>
      <w:r>
        <w:rPr>
          <w:rFonts w:ascii="Times New Roman" w:hAnsi="Times New Roman" w:cs="Times New Roman"/>
          <w:sz w:val="24"/>
          <w:szCs w:val="24"/>
          <w:lang w:eastAsia="en-US"/>
        </w:rPr>
        <w:t xml:space="preserve">юрлицо</w:t>
      </w:r>
      <w:r>
        <w:rPr>
          <w:rFonts w:ascii="Times New Roman" w:hAnsi="Times New Roman" w:cs="Times New Roman"/>
          <w:sz w:val="24"/>
          <w:szCs w:val="24"/>
          <w:lang w:eastAsia="en-US"/>
        </w:rPr>
        <w:t xml:space="preserve"> или через несколько </w:t>
      </w:r>
      <w:r>
        <w:rPr>
          <w:rFonts w:ascii="Times New Roman" w:hAnsi="Times New Roman" w:cs="Times New Roman"/>
          <w:sz w:val="24"/>
          <w:szCs w:val="24"/>
          <w:lang w:eastAsia="en-US"/>
        </w:rPr>
        <w:t xml:space="preserve">юрлиц</w:t>
      </w:r>
      <w:r>
        <w:rPr>
          <w:rFonts w:ascii="Times New Roman" w:hAnsi="Times New Roman" w:cs="Times New Roman"/>
          <w:sz w:val="24"/>
          <w:szCs w:val="24"/>
          <w:lang w:eastAsia="en-US"/>
        </w:rPr>
        <w:t xml:space="preserve">) долей, превышающей 10% в уставном (складочном) капитале хозяйственного товарищества или общества;</w:t>
      </w:r>
    </w:p>
    <w:p>
      <w:pPr>
        <w:pStyle w:val="ConsNormal"/>
        <w:numPr>
          <w:numId w:val="2"/>
          <w:ilvl w:val="1"/>
        </w:numPr>
        <w:rPr>
          <w:rFonts w:ascii="Times New Roman" w:hAnsi="Times New Roman" w:cs="Times New Roman"/>
          <w:sz w:val="24"/>
          <w:szCs w:val="24"/>
          <w:lang w:eastAsia="en-US"/>
        </w:rPr>
      </w:pPr>
      <w:r>
        <w:rPr>
          <w:rFonts w:ascii="Times New Roman" w:hAnsi="Times New Roman" w:cs="Times New Roman"/>
          <w:sz w:val="24"/>
          <w:szCs w:val="24"/>
          <w:lang w:eastAsia="en-US"/>
        </w:rPr>
        <w:t xml:space="preserve">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Исключение - случаи заключения контрактов на создание произведений литературы или искусства, исполнения, на финансирование проката или показа национального фильма;</w:t>
      </w:r>
    </w:p>
    <w:p>
      <w:pPr>
        <w:pStyle w:val="ConsNormal"/>
        <w:numPr>
          <w:numId w:val="2"/>
          <w:ilvl w:val="1"/>
        </w:numPr>
        <w:tabs>
          <w:tab w:val="clear" w:pos="1080"/>
        </w:tabs>
        <w:rPr>
          <w:rFonts w:ascii="Times New Roman" w:hAnsi="Times New Roman" w:cs="Times New Roman"/>
          <w:sz w:val="24"/>
          <w:szCs w:val="24"/>
          <w:lang w:eastAsia="en-US"/>
        </w:rPr>
      </w:pPr>
      <w:r>
        <w:rPr>
          <w:rFonts w:ascii="Times New Roman" w:hAnsi="Times New Roman" w:cs="Times New Roman"/>
          <w:sz w:val="24"/>
          <w:szCs w:val="24"/>
          <w:lang w:eastAsia="en-US"/>
        </w:rPr>
        <w:t xml:space="preserve">участник закупки не является офшорной компанией, не имеет в составе участников (членов) корпоративного </w:t>
      </w:r>
      <w:r>
        <w:rPr>
          <w:rFonts w:ascii="Times New Roman" w:hAnsi="Times New Roman" w:cs="Times New Roman"/>
          <w:sz w:val="24"/>
          <w:szCs w:val="24"/>
          <w:lang w:eastAsia="en-US"/>
        </w:rPr>
        <w:t xml:space="preserve">юрлица</w:t>
      </w:r>
      <w:r>
        <w:rPr>
          <w:rFonts w:ascii="Times New Roman" w:hAnsi="Times New Roman" w:cs="Times New Roman"/>
          <w:sz w:val="24"/>
          <w:szCs w:val="24"/>
          <w:lang w:eastAsia="en-US"/>
        </w:rPr>
        <w:t xml:space="preserve"> или в составе учредителей унитарного </w:t>
      </w:r>
      <w:r>
        <w:rPr>
          <w:rFonts w:ascii="Times New Roman" w:hAnsi="Times New Roman" w:cs="Times New Roman"/>
          <w:sz w:val="24"/>
          <w:szCs w:val="24"/>
          <w:lang w:eastAsia="en-US"/>
        </w:rPr>
        <w:t xml:space="preserve">юрлица</w:t>
      </w:r>
      <w:r>
        <w:rPr>
          <w:rFonts w:ascii="Times New Roman" w:hAnsi="Times New Roman" w:cs="Times New Roman"/>
          <w:sz w:val="24"/>
          <w:szCs w:val="24"/>
          <w:lang w:eastAsia="en-US"/>
        </w:rPr>
        <w:t xml:space="preserve"> офшорной компании, а также не имеет офшорных компаний в числе лиц, владеющих напрямую или косвенно (через </w:t>
      </w:r>
      <w:r>
        <w:rPr>
          <w:rFonts w:ascii="Times New Roman" w:hAnsi="Times New Roman" w:cs="Times New Roman"/>
          <w:sz w:val="24"/>
          <w:szCs w:val="24"/>
          <w:lang w:eastAsia="en-US"/>
        </w:rPr>
        <w:t xml:space="preserve">юрлицо</w:t>
      </w:r>
      <w:r>
        <w:rPr>
          <w:rFonts w:ascii="Times New Roman" w:hAnsi="Times New Roman" w:cs="Times New Roman"/>
          <w:sz w:val="24"/>
          <w:szCs w:val="24"/>
          <w:lang w:eastAsia="en-US"/>
        </w:rPr>
        <w:t xml:space="preserve"> или через несколько </w:t>
      </w:r>
      <w:r>
        <w:rPr>
          <w:rFonts w:ascii="Times New Roman" w:hAnsi="Times New Roman" w:cs="Times New Roman"/>
          <w:sz w:val="24"/>
          <w:szCs w:val="24"/>
          <w:lang w:eastAsia="en-US"/>
        </w:rPr>
        <w:t xml:space="preserve">юрлиц</w:t>
      </w:r>
      <w:r>
        <w:rPr>
          <w:rFonts w:ascii="Times New Roman" w:hAnsi="Times New Roman" w:cs="Times New Roman"/>
          <w:sz w:val="24"/>
          <w:szCs w:val="24"/>
          <w:lang w:eastAsia="en-US"/>
        </w:rPr>
        <w:t xml:space="preserve">) более чем 10% голосующих акций хозяйственного общества либо долей, превышающей 10% в уставном (складочном) капитале хозяйственного товарищества или общества;</w:t>
      </w:r>
    </w:p>
    <w:p>
      <w:pPr>
        <w:pStyle w:val="ConsNormal"/>
        <w:numPr>
          <w:numId w:val="2"/>
          <w:ilvl w:val="1"/>
        </w:numPr>
        <w:rPr>
          <w:rFonts w:ascii="Times New Roman" w:hAnsi="Times New Roman" w:cs="Times New Roman"/>
          <w:sz w:val="24"/>
          <w:szCs w:val="24"/>
          <w:lang w:eastAsia="en-US"/>
        </w:rPr>
      </w:pPr>
      <w:r>
        <w:rPr>
          <w:rFonts w:ascii="Times New Roman" w:hAnsi="Times New Roman" w:cs="Times New Roman"/>
          <w:sz w:val="24"/>
          <w:szCs w:val="24"/>
          <w:lang w:eastAsia="en-US"/>
        </w:rPr>
        <w:t xml:space="preserve">участник закупки - лицо, которое не является иностранным агентом;</w:t>
      </w:r>
    </w:p>
    <w:p>
      <w:pPr>
        <w:pStyle w:val="ConsNormal"/>
        <w:numPr>
          <w:numId w:val="2"/>
          <w:ilvl w:val="1"/>
        </w:numPr>
        <w:tabs>
          <w:tab w:val="clear" w:pos="1080"/>
        </w:tabs>
        <w:rPr>
          <w:rFonts w:ascii="Times New Roman" w:hAnsi="Times New Roman" w:cs="Times New Roman"/>
          <w:sz w:val="24"/>
          <w:szCs w:val="24"/>
          <w:lang w:eastAsia="en-US"/>
        </w:rPr>
      </w:pPr>
      <w:r>
        <w:rPr>
          <w:rFonts w:ascii="Times New Roman" w:hAnsi="Times New Roman" w:cs="Times New Roman"/>
          <w:sz w:val="24"/>
          <w:szCs w:val="24"/>
          <w:lang w:eastAsia="en-US"/>
        </w:rPr>
        <w:t xml:space="preserve">отсутствие у участника закупки ограничений для участия в закупках, установленных законодательством Российской Федерации.</w:t>
      </w:r>
    </w:p>
    <w:p>
      <w:pPr>
        <w:pStyle w:val="ConsNormal"/>
        <w:ind w:left="540"/>
        <w:rPr>
          <w:rFonts w:ascii="Times New Roman" w:hAnsi="Times New Roman" w:cs="Times New Roman"/>
          <w:sz w:val="24"/>
          <w:szCs w:val="24"/>
          <w:lang w:eastAsia="en-US"/>
        </w:rPr>
      </w:pPr>
      <w:r>
        <w:rPr>
          <w:rFonts w:ascii="Times New Roman" w:hAnsi="Times New Roman" w:cs="Times New Roman"/>
          <w:sz w:val="24"/>
          <w:szCs w:val="24"/>
          <w:lang w:eastAsia="en-US"/>
        </w:rPr>
        <w:t xml:space="preserve">Информацию о соответствии указанным требованиям участник закупки</w:t>
      </w:r>
      <w:r>
        <w:rPr>
          <w:rFonts w:ascii="Times New Roman" w:hAnsi="Times New Roman" w:cs="Times New Roman"/>
          <w:sz w:val="24"/>
          <w:szCs w:val="24"/>
          <w:lang w:eastAsia="en-US"/>
        </w:rPr>
        <w:t xml:space="preserve"> представляет в виде декларации</w:t>
      </w:r>
      <w:r>
        <w:rPr>
          <w:rFonts w:ascii="Times New Roman" w:hAnsi="Times New Roman" w:cs="Times New Roman"/>
          <w:sz w:val="24"/>
          <w:szCs w:val="24"/>
          <w:lang w:eastAsia="en-US"/>
        </w:rPr>
        <w:t xml:space="preserve">;</w:t>
      </w:r>
    </w:p>
    <w:p>
      <w:pPr>
        <w:pStyle w:val="ConsNormal"/>
        <w:numPr>
          <w:numId w:val="2"/>
          <w:ilvl w:val="0"/>
        </w:numPr>
        <w:tabs>
          <w:tab w:val="clear" w:pos="540"/>
        </w:tabs>
        <w:rPr>
          <w:rFonts w:ascii="Times New Roman" w:hAnsi="Times New Roman" w:cs="Times New Roman"/>
          <w:sz w:val="24"/>
          <w:szCs w:val="24"/>
          <w:lang w:eastAsia="en-US"/>
        </w:rPr>
      </w:pPr>
      <w:r>
        <w:rPr>
          <w:rFonts w:ascii="Times New Roman" w:hAnsi="Times New Roman" w:cs="Times New Roman"/>
          <w:sz w:val="24"/>
          <w:szCs w:val="24"/>
          <w:lang w:eastAsia="en-US"/>
        </w:rPr>
        <w:t xml:space="preserve">реквизиты счета участника закупки, на который в соответствии с законодательством Российской Федерации перечисляются денежные средства в качестве оплаты за поставленный товар, выполненную работу (ее результаты), оказанную услугу, а также отдельные этапы исполнения контракта. Реквизиты указанного счета не включаются в заявку, если в соответствии с законодательством Российской Федерации он открывается после заключения контракта;</w:t>
      </w:r>
    </w:p>
    <w:p>
      <w:pPr>
        <w:pStyle w:val="ConsNormal"/>
        <w:numPr>
          <w:numId w:val="2"/>
          <w:ilvl w:val="0"/>
        </w:numPr>
        <w:tabs>
          <w:tab w:val="clear" w:pos="540"/>
        </w:tabs>
        <w:rPr>
          <w:rFonts w:ascii="Times New Roman" w:hAnsi="Times New Roman" w:cs="Times New Roman"/>
          <w:sz w:val="24"/>
          <w:szCs w:val="24"/>
          <w:lang w:eastAsia="en-US"/>
        </w:rPr>
      </w:pPr>
      <w:r>
        <w:rPr>
          <w:rFonts w:ascii="Times New Roman" w:hAnsi="Times New Roman" w:cs="Times New Roman"/>
          <w:sz w:val="24"/>
          <w:szCs w:val="24"/>
          <w:lang w:eastAsia="en-US"/>
        </w:rPr>
        <w:t xml:space="preserve">если в извещении о проведении электронного аукциона к участникам закупки предъявлено требование по п. 1 ч. 1 ст. 31 Закона N 44-ФЗ, в заявку включаются документы, подтверждающие соответствие участника этому требованию. Исчерпывающий перечень таких документов заказчик устанавливает в извещении об осуществлении электронного аукциона</w:t>
      </w:r>
      <w:r>
        <w:rPr>
          <w:rFonts w:ascii="Times New Roman" w:hAnsi="Times New Roman" w:cs="Times New Roman"/>
          <w:sz w:val="24"/>
          <w:szCs w:val="24"/>
          <w:lang w:eastAsia="en-US"/>
        </w:rPr>
        <w:t xml:space="preserve">. Если при проведении закупки в строительной сфере требуется членство в СРО, подтверждающий его документ в заявке не представляется. Подтверждением соответствия этому требованию является наличие информации в едином реестре сведений о членах СРО и их обязательствах (ст. 55.17 </w:t>
      </w:r>
      <w:r>
        <w:rPr>
          <w:rFonts w:ascii="Times New Roman" w:hAnsi="Times New Roman" w:cs="Times New Roman"/>
          <w:sz w:val="24"/>
          <w:szCs w:val="24"/>
          <w:lang w:eastAsia="en-US"/>
        </w:rPr>
        <w:t xml:space="preserve">ГрК</w:t>
      </w:r>
      <w:r>
        <w:rPr>
          <w:rFonts w:ascii="Times New Roman" w:hAnsi="Times New Roman" w:cs="Times New Roman"/>
          <w:sz w:val="24"/>
          <w:szCs w:val="24"/>
          <w:lang w:eastAsia="en-US"/>
        </w:rPr>
        <w:t xml:space="preserve"> РФ)</w:t>
      </w:r>
      <w:r>
        <w:rPr>
          <w:rFonts w:ascii="Times New Roman" w:hAnsi="Times New Roman" w:cs="Times New Roman"/>
          <w:sz w:val="24"/>
          <w:szCs w:val="24"/>
          <w:lang w:eastAsia="en-US"/>
        </w:rPr>
        <w:t xml:space="preserve">;</w:t>
      </w:r>
    </w:p>
    <w:p>
      <w:pPr>
        <w:pStyle w:val="ConsNormal"/>
        <w:rPr>
          <w:rFonts w:ascii="Times New Roman" w:hAnsi="Times New Roman" w:cs="Times New Roman"/>
          <w:sz w:val="24"/>
          <w:szCs w:val="24"/>
          <w:lang w:eastAsia="en-US"/>
        </w:rPr>
      </w:pPr>
      <w:r>
        <w:rPr>
          <w:rFonts w:ascii="Times New Roman" w:hAnsi="Times New Roman" w:cs="Times New Roman"/>
          <w:sz w:val="24"/>
          <w:szCs w:val="24"/>
          <w:lang w:eastAsia="en-US"/>
        </w:rPr>
        <w:t xml:space="preserve">2) предложение участника закупки в отношении объекта закупки:</w:t>
      </w:r>
    </w:p>
    <w:p>
      <w:pPr>
        <w:pStyle w:val="ConsNormal"/>
        <w:numPr>
          <w:numId w:val="3"/>
          <w:ilvl w:val="0"/>
        </w:numPr>
        <w:tabs>
          <w:tab w:val="clear" w:pos="540"/>
        </w:tabs>
        <w:rPr>
          <w:rFonts w:ascii="Times New Roman" w:hAnsi="Times New Roman" w:cs="Times New Roman"/>
          <w:sz w:val="24"/>
          <w:szCs w:val="24"/>
          <w:lang w:eastAsia="en-US"/>
        </w:rPr>
      </w:pPr>
      <w:r>
        <w:rPr>
          <w:rFonts w:ascii="Times New Roman" w:hAnsi="Times New Roman" w:cs="Times New Roman"/>
          <w:sz w:val="24"/>
          <w:szCs w:val="24"/>
          <w:lang w:eastAsia="en-US"/>
        </w:rPr>
        <w:t xml:space="preserve">характеристики предлагаемого участником закупки товара (в том числе поставляемого заказчику при выполнении закупаемых работ, оказании закупаемых услуг), соответствующие показателям, установленным в Приложении N 1 к извещению о проведении электронного аукциона, а также товарный знак (при наличии у товара товарного знака).</w:t>
      </w:r>
    </w:p>
    <w:p>
      <w:pPr>
        <w:pStyle w:val="ConsNormal"/>
        <w:ind w:left="540"/>
        <w:rPr>
          <w:rFonts w:ascii="Times New Roman" w:hAnsi="Times New Roman" w:cs="Times New Roman"/>
          <w:sz w:val="24"/>
          <w:szCs w:val="24"/>
          <w:lang w:eastAsia="en-US"/>
        </w:rPr>
      </w:pPr>
      <w:r>
        <w:rPr>
          <w:rFonts w:ascii="Times New Roman" w:hAnsi="Times New Roman" w:cs="Times New Roman"/>
          <w:sz w:val="24"/>
          <w:szCs w:val="24"/>
          <w:lang w:eastAsia="en-US"/>
        </w:rPr>
        <w:t xml:space="preserve">Данную информацию можно не включать в заявку, если в Приложении N 1 к извещению о проведении электронного аукциона указан товарный знак и участник закупки предлагает к поставке товар, обозначенный именно им.</w:t>
      </w:r>
    </w:p>
    <w:p>
      <w:pPr>
        <w:pStyle w:val="ConsNormal"/>
        <w:ind w:left="540"/>
        <w:rPr>
          <w:rFonts w:ascii="Times New Roman" w:hAnsi="Times New Roman" w:cs="Times New Roman"/>
          <w:sz w:val="24"/>
          <w:szCs w:val="24"/>
          <w:lang w:eastAsia="en-US"/>
        </w:rPr>
      </w:pPr>
      <w:r>
        <w:rPr>
          <w:rFonts w:ascii="Times New Roman" w:hAnsi="Times New Roman" w:cs="Times New Roman"/>
          <w:sz w:val="24"/>
          <w:szCs w:val="24"/>
          <w:lang w:eastAsia="en-US"/>
        </w:rPr>
        <w:t xml:space="preserve">Данная информация не включается в заявку, если в Приложении N 1 к извещению о проведении электронного аукциона в соответствии с п. 8 ч. 1 ст. 33 Закона N 44-ФЗ приложена проектная документации, или типовая проектная документация, или смета на капитальный ремонт объекта капитального строительства;</w:t>
      </w:r>
    </w:p>
    <w:p>
      <w:pPr>
        <w:pStyle w:val="ConsNormal"/>
        <w:numPr>
          <w:numId w:val="3"/>
          <w:ilvl w:val="0"/>
        </w:numPr>
        <w:tabs>
          <w:tab w:val="clear" w:pos="540"/>
        </w:tabs>
        <w:rPr>
          <w:rFonts w:ascii="Times New Roman" w:hAnsi="Times New Roman" w:cs="Times New Roman"/>
          <w:sz w:val="24"/>
          <w:szCs w:val="24"/>
          <w:lang w:eastAsia="en-US"/>
        </w:rPr>
      </w:pPr>
      <w:r>
        <w:rPr>
          <w:rFonts w:ascii="Times New Roman" w:hAnsi="Times New Roman" w:cs="Times New Roman"/>
          <w:sz w:val="24"/>
          <w:szCs w:val="24"/>
          <w:lang w:eastAsia="en-US"/>
        </w:rPr>
        <w:t xml:space="preserve">наименование страны происхождения товара (в том числе поставляемого заказчику при выполнении закупаемых работ, оказании закупаемых услуг) в соответствии с ОКСМ;</w:t>
      </w:r>
    </w:p>
    <w:p>
      <w:pPr>
        <w:pStyle w:val="ConsNormal"/>
        <w:numPr>
          <w:numId w:val="3"/>
          <w:ilvl w:val="0"/>
        </w:numPr>
        <w:tabs>
          <w:tab w:val="clear" w:pos="540"/>
        </w:tabs>
        <w:rPr>
          <w:rFonts w:ascii="Times New Roman" w:hAnsi="Times New Roman" w:cs="Times New Roman"/>
          <w:sz w:val="24"/>
          <w:szCs w:val="24"/>
          <w:lang w:eastAsia="en-US"/>
        </w:rPr>
      </w:pPr>
      <w:r>
        <w:rPr>
          <w:rFonts w:ascii="Times New Roman" w:hAnsi="Times New Roman" w:cs="Times New Roman"/>
          <w:sz w:val="24"/>
          <w:szCs w:val="24"/>
          <w:lang w:eastAsia="en-US"/>
        </w:rPr>
        <w:t xml:space="preserve">документы, подтверждающие соответствие товара, работы или услуги требованиям, установленным в соответствии с законодательством Российской Федерации, если соответствующие требования и </w:t>
      </w:r>
      <w:r>
        <w:rPr>
          <w:rFonts w:ascii="Times New Roman" w:hAnsi="Times New Roman" w:cs="Times New Roman"/>
          <w:sz w:val="24"/>
          <w:szCs w:val="24"/>
          <w:lang w:eastAsia="en-US"/>
        </w:rPr>
        <w:t xml:space="preserve">представление таких документов предусмотрены в Приложении N 1 к извещению о проведении электронного аукциона. Включать указанные документы в заявку не требуется, если в соответствии с законодательством Российской Федерации они передаются вместе с товаром;</w:t>
      </w:r>
    </w:p>
    <w:p>
      <w:pPr>
        <w:pStyle w:val="ConsNormal"/>
        <w:rPr>
          <w:rFonts w:ascii="Times New Roman" w:hAnsi="Times New Roman" w:cs="Times New Roman"/>
          <w:sz w:val="24"/>
          <w:szCs w:val="24"/>
          <w:lang w:eastAsia="en-US"/>
        </w:rPr>
      </w:pPr>
      <w:r>
        <w:rPr>
          <w:rFonts w:ascii="Times New Roman" w:hAnsi="Times New Roman" w:cs="Times New Roman"/>
          <w:sz w:val="24"/>
          <w:szCs w:val="24"/>
          <w:lang w:eastAsia="en-US"/>
        </w:rPr>
        <w:t xml:space="preserve">3) если в извещении установлено, что при проведении электронного аукциона применяются запреты, ограничения, условия допуска в соответствии с положениями ст. 14 Закона N 44-ФЗ, - информацию и документы, предусмотренные соответствующим нормативн</w:t>
      </w:r>
      <w:r>
        <w:rPr>
          <w:rFonts w:ascii="Times New Roman" w:hAnsi="Times New Roman" w:cs="Times New Roman"/>
          <w:sz w:val="24"/>
          <w:szCs w:val="24"/>
          <w:lang w:eastAsia="en-US"/>
        </w:rPr>
        <w:t xml:space="preserve">ым </w:t>
      </w:r>
      <w:r>
        <w:rPr>
          <w:rFonts w:ascii="Times New Roman" w:hAnsi="Times New Roman" w:cs="Times New Roman"/>
          <w:sz w:val="24"/>
          <w:szCs w:val="24"/>
          <w:lang w:eastAsia="en-US"/>
        </w:rPr>
        <w:t xml:space="preserve">правовым актом. Если они не будут включены в заявку, ее приравняют к заявке, которая содержит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pPr>
        <w:pStyle w:val="ConsNormal"/>
        <w:rPr>
          <w:rFonts w:ascii="Times New Roman" w:hAnsi="Times New Roman" w:cs="Times New Roman"/>
          <w:sz w:val="24"/>
          <w:szCs w:val="24"/>
          <w:lang w:eastAsia="en-US"/>
        </w:rPr>
      </w:pPr>
      <w:r>
        <w:rPr>
          <w:rFonts w:ascii="Times New Roman" w:hAnsi="Times New Roman" w:cs="Times New Roman"/>
          <w:sz w:val="24"/>
          <w:szCs w:val="24"/>
          <w:lang w:eastAsia="en-US"/>
        </w:rPr>
        <w:t xml:space="preserve">Заявка на участие в электронном аукционе может содержать иные информацию и документы, в том числе эскиз, рисунок, чертеж, фотографию, иное изображение предлагаемого участником закупки товара. При этом их отсутствие не является основанием для отклонения такой заявки.</w:t>
      </w:r>
    </w:p>
    <w:p>
      <w:pPr>
        <w:pStyle w:val="ConsNormal"/>
        <w:rPr>
          <w:rFonts w:ascii="Times New Roman" w:hAnsi="Times New Roman" w:cs="Times New Roman"/>
          <w:sz w:val="24"/>
          <w:szCs w:val="24"/>
          <w:lang w:eastAsia="en-US"/>
        </w:rPr>
      </w:pPr>
      <w:r>
        <w:rPr>
          <w:rFonts w:ascii="Times New Roman" w:hAnsi="Times New Roman" w:cs="Times New Roman"/>
          <w:sz w:val="24"/>
          <w:szCs w:val="24"/>
          <w:lang w:eastAsia="en-US"/>
        </w:rPr>
        <w:t xml:space="preserve">Обращаем внимание участников электронного аукциона:</w:t>
      </w:r>
    </w:p>
    <w:p>
      <w:pPr>
        <w:pStyle w:val="ConsNormal"/>
        <w:numPr>
          <w:numId w:val="4"/>
          <w:ilvl w:val="0"/>
        </w:numPr>
        <w:rPr>
          <w:rFonts w:ascii="Times New Roman" w:hAnsi="Times New Roman" w:cs="Times New Roman"/>
          <w:sz w:val="24"/>
          <w:szCs w:val="24"/>
          <w:lang w:eastAsia="en-US"/>
        </w:rPr>
      </w:pPr>
      <w:r>
        <w:rPr>
          <w:rFonts w:ascii="Times New Roman" w:hAnsi="Times New Roman" w:cs="Times New Roman"/>
          <w:sz w:val="24"/>
          <w:szCs w:val="24"/>
          <w:lang w:eastAsia="en-US"/>
        </w:rPr>
        <w:t xml:space="preserve">информация и документы, предусмот</w:t>
      </w:r>
      <w:r>
        <w:rPr>
          <w:rFonts w:ascii="Times New Roman" w:hAnsi="Times New Roman" w:cs="Times New Roman"/>
          <w:sz w:val="24"/>
          <w:szCs w:val="24"/>
          <w:lang w:eastAsia="en-US"/>
        </w:rPr>
        <w:t xml:space="preserve">ренные </w:t>
      </w:r>
      <w:r>
        <w:rPr>
          <w:rFonts w:ascii="Times New Roman" w:hAnsi="Times New Roman" w:cs="Times New Roman"/>
          <w:sz w:val="24"/>
          <w:szCs w:val="24"/>
          <w:lang w:eastAsia="en-US"/>
        </w:rPr>
        <w:t xml:space="preserve">пп</w:t>
      </w:r>
      <w:r>
        <w:rPr>
          <w:rFonts w:ascii="Times New Roman" w:hAnsi="Times New Roman" w:cs="Times New Roman"/>
          <w:sz w:val="24"/>
          <w:szCs w:val="24"/>
          <w:lang w:eastAsia="en-US"/>
        </w:rPr>
        <w:t xml:space="preserve">. "а" -</w:t>
      </w:r>
      <w:r>
        <w:rPr>
          <w:rFonts w:ascii="Times New Roman" w:hAnsi="Times New Roman" w:cs="Times New Roman"/>
          <w:sz w:val="24"/>
          <w:szCs w:val="24"/>
          <w:lang w:eastAsia="en-US"/>
        </w:rPr>
        <w:t xml:space="preserve"> "л" п. 1 ч. 1 ст. 43 Закона N 44-ФЗ, не включаются в заявку на участие в электронном аукционе (п. 2 ч. 6 ст. 43 Закона N 44-ФЗ). Их направляет заказчику оператор электронной площадки путем информационного взаимодействия с ЕИС;</w:t>
      </w:r>
    </w:p>
    <w:p>
      <w:pPr>
        <w:pStyle w:val="ConsNormal"/>
        <w:numPr>
          <w:numId w:val="4"/>
          <w:ilvl w:val="0"/>
        </w:numPr>
        <w:rPr>
          <w:rFonts w:ascii="Times New Roman" w:hAnsi="Times New Roman" w:cs="Times New Roman"/>
          <w:sz w:val="24"/>
          <w:szCs w:val="24"/>
          <w:lang w:eastAsia="en-US"/>
        </w:rPr>
      </w:pPr>
      <w:r>
        <w:rPr>
          <w:rFonts w:ascii="Times New Roman" w:hAnsi="Times New Roman" w:cs="Times New Roman"/>
          <w:sz w:val="24"/>
          <w:szCs w:val="24"/>
          <w:lang w:eastAsia="en-US"/>
        </w:rPr>
        <w:t xml:space="preserve">если в извещении о проведении электронного аукциона к участникам предъявлены дополнительные требования по ч. 2, 2.1 ст. 31 Закона N 44-ФЗ, информация и документы, подтверждающие соответствие участника закупки этим требованиям, не включаются в состав заявки. Их направляет заказчику оператор электронной площадки из реестра участников закупок, аккредитованных на электронной площадке (ч. 12, 13 ст. 24.2, п. 3 ч. 6 ст. 43 Закона N 44-ФЗ). Информация и документы, подтверждающие соответствие участника закупки указанным дополнительным требованиям, должны отвечать положениям Постановления Правит</w:t>
      </w:r>
      <w:r>
        <w:rPr>
          <w:rFonts w:ascii="Times New Roman" w:hAnsi="Times New Roman" w:cs="Times New Roman"/>
          <w:sz w:val="24"/>
          <w:szCs w:val="24"/>
          <w:lang w:eastAsia="en-US"/>
        </w:rPr>
        <w:t xml:space="preserve">ельства РФ от 29.12.2021 N 2571;</w:t>
      </w:r>
    </w:p>
    <w:p>
      <w:pPr>
        <w:pStyle w:val="ConsNormal"/>
        <w:numPr>
          <w:numId w:val="4"/>
          <w:ilvl w:val="0"/>
        </w:numPr>
        <w:rPr>
          <w:rFonts w:ascii="Times New Roman" w:hAnsi="Times New Roman" w:cs="Times New Roman"/>
          <w:sz w:val="24"/>
          <w:szCs w:val="24"/>
          <w:lang w:eastAsia="en-US"/>
        </w:rPr>
      </w:pPr>
      <w:r>
        <w:rPr>
          <w:rFonts w:ascii="Times New Roman" w:hAnsi="Times New Roman" w:cs="Times New Roman"/>
          <w:sz w:val="24"/>
          <w:szCs w:val="24"/>
          <w:lang w:eastAsia="en-US"/>
        </w:rPr>
        <w:t xml:space="preserve">если участником закупки является </w:t>
      </w:r>
      <w:r>
        <w:rPr>
          <w:rFonts w:ascii="Times New Roman" w:hAnsi="Times New Roman" w:cs="Times New Roman"/>
          <w:sz w:val="24"/>
          <w:szCs w:val="24"/>
          <w:lang w:eastAsia="en-US"/>
        </w:rPr>
        <w:t xml:space="preserve">юрлицо</w:t>
      </w:r>
      <w:r>
        <w:rPr>
          <w:rFonts w:ascii="Times New Roman" w:hAnsi="Times New Roman" w:cs="Times New Roman"/>
          <w:sz w:val="24"/>
          <w:szCs w:val="24"/>
          <w:lang w:eastAsia="en-US"/>
        </w:rPr>
        <w:t xml:space="preserve">, зарегистрированное на территории государства - члена ЕАЭС (за исключением РФ), или гражданин такого государства, предоставивший в качестве обеспечения заявки денежные средства, его заявка</w:t>
      </w:r>
      <w:r>
        <w:rPr>
          <w:rFonts w:ascii="Times New Roman" w:hAnsi="Times New Roman" w:cs="Times New Roman"/>
          <w:sz w:val="24"/>
          <w:szCs w:val="24"/>
          <w:lang w:eastAsia="en-US"/>
        </w:rPr>
        <w:t xml:space="preserve">,</w:t>
      </w:r>
      <w:r>
        <w:rPr>
          <w:rFonts w:ascii="Times New Roman" w:hAnsi="Times New Roman" w:cs="Times New Roman"/>
          <w:sz w:val="24"/>
          <w:szCs w:val="24"/>
          <w:lang w:eastAsia="en-US"/>
        </w:rPr>
        <w:t xml:space="preserve"> согласно </w:t>
      </w:r>
      <w:r>
        <w:rPr>
          <w:rFonts w:ascii="Times New Roman" w:hAnsi="Times New Roman" w:cs="Times New Roman"/>
          <w:sz w:val="24"/>
          <w:szCs w:val="24"/>
          <w:lang w:eastAsia="en-US"/>
        </w:rPr>
        <w:t xml:space="preserve">пп</w:t>
      </w:r>
      <w:r>
        <w:rPr>
          <w:rFonts w:ascii="Times New Roman" w:hAnsi="Times New Roman" w:cs="Times New Roman"/>
          <w:sz w:val="24"/>
          <w:szCs w:val="24"/>
          <w:lang w:eastAsia="en-US"/>
        </w:rPr>
        <w:t xml:space="preserve">. "б" п. 1 Постановления Правительства РФ от 10.04.2023 N 579</w:t>
      </w:r>
      <w:r>
        <w:rPr>
          <w:rFonts w:ascii="Times New Roman" w:hAnsi="Times New Roman" w:cs="Times New Roman"/>
          <w:sz w:val="24"/>
          <w:szCs w:val="24"/>
          <w:lang w:eastAsia="en-US"/>
        </w:rPr>
        <w:t xml:space="preserve">,</w:t>
      </w:r>
      <w:r>
        <w:rPr>
          <w:rFonts w:ascii="Times New Roman" w:hAnsi="Times New Roman" w:cs="Times New Roman"/>
          <w:sz w:val="24"/>
          <w:szCs w:val="24"/>
          <w:lang w:eastAsia="en-US"/>
        </w:rPr>
        <w:t xml:space="preserve"> должна содержать информацию и документы, подтверждающие предоставление обеспечения заявки в форме электронных документов или электронных образов бумажных документов.</w:t>
      </w:r>
    </w:p>
    <w:p>
      <w:pPr>
        <w:spacing w:after="0" w:line="240" w:lineRule="auto"/>
        <w:rPr>
          <w:rFonts w:ascii="Times New Roman" w:hAnsi="Times New Roman"/>
          <w:b/>
          <w:sz w:val="24"/>
          <w:szCs w:val="24"/>
        </w:rPr>
      </w:pPr>
    </w:p>
    <w:p>
      <w:pPr>
        <w:spacing w:after="0" w:line="240" w:lineRule="auto"/>
        <w:jc w:val="both"/>
        <w:rPr>
          <w:rFonts w:ascii="Times New Roman" w:hAnsi="Times New Roman"/>
          <w:b/>
          <w:sz w:val="24"/>
          <w:szCs w:val="24"/>
        </w:rPr>
      </w:pPr>
      <w:r>
        <w:rPr>
          <w:rFonts w:ascii="Times New Roman" w:hAnsi="Times New Roman"/>
          <w:b/>
          <w:sz w:val="24"/>
          <w:szCs w:val="24"/>
        </w:rPr>
        <w:t xml:space="preserve">2. </w:t>
      </w:r>
      <w:r>
        <w:rPr>
          <w:rFonts w:ascii="Times New Roman" w:hAnsi="Times New Roman"/>
          <w:b/>
          <w:sz w:val="24"/>
          <w:szCs w:val="24"/>
        </w:rPr>
        <w:t xml:space="preserve">Инструкция по заполнен</w:t>
      </w:r>
      <w:r>
        <w:rPr>
          <w:rFonts w:ascii="Times New Roman" w:hAnsi="Times New Roman"/>
          <w:b/>
          <w:sz w:val="24"/>
          <w:szCs w:val="24"/>
        </w:rPr>
        <w:t xml:space="preserve">ию заявки на участие в электронном аукционе</w:t>
      </w:r>
    </w:p>
    <w:p>
      <w:pPr>
        <w:spacing w:after="0" w:line="240" w:lineRule="auto"/>
        <w:jc w:val="both"/>
        <w:rPr>
          <w:rFonts w:ascii="Times New Roman" w:hAnsi="Times New Roman"/>
          <w:sz w:val="24"/>
          <w:szCs w:val="24"/>
        </w:rPr>
      </w:pPr>
    </w:p>
    <w:p>
      <w:pPr>
        <w:spacing w:after="0" w:line="240" w:lineRule="auto"/>
        <w:jc w:val="both"/>
        <w:rPr>
          <w:rFonts w:ascii="Times New Roman" w:hAnsi="Times New Roman"/>
          <w:sz w:val="24"/>
          <w:szCs w:val="24"/>
        </w:rPr>
      </w:pPr>
      <w:r>
        <w:rPr>
          <w:rFonts w:ascii="Times New Roman" w:hAnsi="Times New Roman"/>
          <w:sz w:val="24"/>
          <w:szCs w:val="24"/>
        </w:rPr>
        <w:t xml:space="preserve">Подача заявки означает, что вы согласились поставить товар (выполнить работу, оказать услугу) на условиях, предусмотренных в извещении об осуществлении электронного аукциона (ч. 5 ст. 43 Закона N 44-ФЗ).</w:t>
      </w:r>
    </w:p>
    <w:p>
      <w:pPr>
        <w:spacing w:after="0" w:line="240" w:lineRule="auto"/>
        <w:jc w:val="both"/>
        <w:rPr>
          <w:rFonts w:ascii="Times New Roman" w:hAnsi="Times New Roman"/>
          <w:sz w:val="24"/>
          <w:szCs w:val="24"/>
        </w:rPr>
      </w:pPr>
      <w:r>
        <w:rPr>
          <w:rFonts w:ascii="Times New Roman" w:hAnsi="Times New Roman"/>
          <w:sz w:val="24"/>
          <w:szCs w:val="24"/>
        </w:rPr>
        <w:t xml:space="preserve">Перечень товаров и допустимые технические характеристики по каждому показателю указаны в Приложении N 1 к извещению о проведении электронного аукциона. При описании технических характеристик использованы следующие знаки и обозначения:</w:t>
      </w:r>
    </w:p>
    <w:p>
      <w:pPr>
        <w:numPr>
          <w:numId w:val="1"/>
          <w:ilvl w:val="0"/>
        </w:numPr>
        <w:spacing w:after="0" w:line="240" w:lineRule="auto"/>
        <w:jc w:val="both"/>
        <w:rPr>
          <w:rFonts w:ascii="Times New Roman" w:hAnsi="Times New Roman"/>
          <w:sz w:val="24"/>
          <w:szCs w:val="24"/>
        </w:rPr>
      </w:pPr>
      <w:bookmarkStart w:id="0" w:name="Par6"/>
      <w:bookmarkEnd w:id="0"/>
      <w:r>
        <w:rPr>
          <w:rFonts w:ascii="Times New Roman" w:hAnsi="Times New Roman"/>
          <w:sz w:val="24"/>
          <w:szCs w:val="24"/>
        </w:rPr>
        <w:t xml:space="preserve">символ "±" означает, что показателю будет соответствовать значение равное указанному или с отклонением в большую или меньшую сторону в пределах указанного предельного отклонения. Например, если в техническом задании указано значение 36±2, то этому значению будет соответствовать любое конкретное значение в диапазоне от 34 до 38;</w:t>
      </w:r>
    </w:p>
    <w:p>
      <w:pPr>
        <w:numPr>
          <w:numId w:val="1"/>
          <w:ilvl w:val="0"/>
        </w:numPr>
        <w:spacing w:after="0" w:line="240" w:lineRule="auto"/>
        <w:jc w:val="both"/>
        <w:rPr>
          <w:rFonts w:ascii="Times New Roman" w:hAnsi="Times New Roman"/>
          <w:sz w:val="24"/>
          <w:szCs w:val="24"/>
        </w:rPr>
      </w:pPr>
      <w:r>
        <w:rPr>
          <w:rFonts w:ascii="Times New Roman" w:hAnsi="Times New Roman"/>
          <w:sz w:val="24"/>
          <w:szCs w:val="24"/>
        </w:rPr>
        <w:t xml:space="preserve">символ "≥" слева от числа означает, что показателю будет соответствовать значение больше указанного или равное ему; </w:t>
      </w:r>
    </w:p>
    <w:p>
      <w:pPr>
        <w:numPr>
          <w:numId w:val="1"/>
          <w:ilvl w:val="0"/>
        </w:numPr>
        <w:spacing w:after="0" w:line="240" w:lineRule="auto"/>
        <w:jc w:val="both"/>
        <w:rPr>
          <w:rFonts w:ascii="Times New Roman" w:hAnsi="Times New Roman"/>
          <w:sz w:val="24"/>
          <w:szCs w:val="24"/>
        </w:rPr>
      </w:pPr>
      <w:r>
        <w:rPr>
          <w:rFonts w:ascii="Times New Roman" w:hAnsi="Times New Roman"/>
          <w:sz w:val="24"/>
          <w:szCs w:val="24"/>
        </w:rPr>
        <w:t xml:space="preserve">символ "≤" слева от числа означает, что показателю будет соответствовать значение меньше указанного или равное ему;</w:t>
      </w:r>
    </w:p>
    <w:p>
      <w:pPr>
        <w:numPr>
          <w:numId w:val="1"/>
          <w:ilvl w:val="0"/>
        </w:numPr>
        <w:spacing w:after="0" w:line="240" w:lineRule="auto"/>
        <w:jc w:val="both"/>
        <w:rPr>
          <w:rFonts w:ascii="Times New Roman" w:hAnsi="Times New Roman"/>
          <w:sz w:val="24"/>
          <w:szCs w:val="24"/>
        </w:rPr>
      </w:pPr>
      <w:r>
        <w:rPr>
          <w:rFonts w:ascii="Times New Roman" w:hAnsi="Times New Roman"/>
          <w:sz w:val="24"/>
          <w:szCs w:val="24"/>
        </w:rPr>
        <w:t xml:space="preserve">союз "или" между значениями означает, что показателю будет соответствовать любое из значений или диапазон значений, разделенных союзом;</w:t>
      </w:r>
    </w:p>
    <w:p>
      <w:pPr>
        <w:numPr>
          <w:numId w:val="1"/>
          <w:ilvl w:val="0"/>
        </w:numPr>
        <w:spacing w:after="0" w:line="240" w:lineRule="auto"/>
        <w:jc w:val="both"/>
        <w:rPr>
          <w:rFonts w:ascii="Times New Roman" w:hAnsi="Times New Roman"/>
          <w:sz w:val="24"/>
          <w:szCs w:val="24"/>
        </w:rPr>
      </w:pPr>
      <w:r>
        <w:rPr>
          <w:rFonts w:ascii="Times New Roman" w:hAnsi="Times New Roman"/>
          <w:sz w:val="24"/>
          <w:szCs w:val="24"/>
        </w:rPr>
        <w:t xml:space="preserve">союз "и" между значениями означает, что показателю будет соответствовать показатель, содержащий одновременно все значения или диапазоны значений, разделенные союзом;</w:t>
      </w:r>
    </w:p>
    <w:p>
      <w:pPr>
        <w:numPr>
          <w:numId w:val="1"/>
          <w:ilvl w:val="0"/>
        </w:numPr>
        <w:spacing w:after="0" w:line="240" w:lineRule="auto"/>
        <w:jc w:val="both"/>
        <w:rPr>
          <w:rFonts w:ascii="Times New Roman" w:hAnsi="Times New Roman"/>
          <w:sz w:val="24"/>
          <w:szCs w:val="24"/>
        </w:rPr>
      </w:pPr>
      <w:r>
        <w:rPr>
          <w:rFonts w:ascii="Times New Roman" w:hAnsi="Times New Roman"/>
          <w:sz w:val="24"/>
          <w:szCs w:val="24"/>
        </w:rPr>
        <w:t xml:space="preserve">слова "от" и "до" означают, что показателю будет соответствовать любое конкретное значение в пределах указанного диапазона, включая крайние значения;</w:t>
      </w:r>
    </w:p>
    <w:p>
      <w:pPr>
        <w:numPr>
          <w:numId w:val="1"/>
          <w:ilvl w:val="0"/>
        </w:numPr>
        <w:spacing w:after="0" w:line="240" w:lineRule="auto"/>
        <w:jc w:val="both"/>
        <w:rPr>
          <w:rFonts w:ascii="Times New Roman" w:hAnsi="Times New Roman"/>
          <w:sz w:val="24"/>
          <w:szCs w:val="24"/>
        </w:rPr>
      </w:pPr>
      <w:r>
        <w:rPr>
          <w:rFonts w:ascii="Times New Roman" w:hAnsi="Times New Roman"/>
          <w:sz w:val="24"/>
          <w:szCs w:val="24"/>
        </w:rPr>
        <w:t xml:space="preserve">слова "диапазон от и до" означают, что показателю будет соответствовать любой диапазон значений в пределах указанного диапазона, включая крайние значения.</w:t>
      </w:r>
    </w:p>
    <w:p>
      <w:pPr>
        <w:spacing w:after="0" w:line="240" w:lineRule="auto"/>
        <w:jc w:val="both"/>
        <w:rPr>
          <w:rFonts w:ascii="Times New Roman" w:hAnsi="Times New Roman"/>
          <w:sz w:val="24"/>
          <w:szCs w:val="24"/>
        </w:rPr>
      </w:pPr>
      <w:r>
        <w:rPr>
          <w:rFonts w:ascii="Times New Roman" w:hAnsi="Times New Roman"/>
          <w:sz w:val="24"/>
          <w:szCs w:val="24"/>
        </w:rPr>
        <w:t xml:space="preserve">Значение показателя без указанных выше символов, слов и союзов означает, что показателю будет соответствовать только указанное неизменное значение. В этом случае указывайте только конкретные показатели, не используйте такие слова, как "не более", "типа" и подобные, которые позволят растолковать характеристики товара как примерные или допускающие отклонения от необходимых значений.</w:t>
      </w:r>
    </w:p>
    <w:p>
      <w:pPr>
        <w:spacing w:after="0" w:line="240" w:lineRule="auto"/>
        <w:jc w:val="both"/>
        <w:rPr>
          <w:rFonts w:ascii="Times New Roman" w:hAnsi="Times New Roman"/>
          <w:sz w:val="24"/>
          <w:szCs w:val="24"/>
        </w:rPr>
      </w:pPr>
    </w:p>
    <w:p>
      <w:pPr>
        <w:spacing w:after="0" w:line="240" w:lineRule="auto"/>
        <w:jc w:val="both"/>
        <w:rPr>
          <w:rFonts w:ascii="Times New Roman" w:hAnsi="Times New Roman"/>
          <w:sz w:val="24"/>
          <w:szCs w:val="24"/>
        </w:rPr>
      </w:pPr>
    </w:p>
    <w:p>
      <w:pPr>
        <w:spacing w:after="0" w:line="240" w:lineRule="auto"/>
        <w:jc w:val="both"/>
        <w:rPr>
          <w:rFonts w:ascii="Times New Roman" w:hAnsi="Times New Roman"/>
          <w:sz w:val="24"/>
          <w:szCs w:val="24"/>
        </w:rPr>
      </w:pPr>
      <w:r>
        <w:rPr>
          <w:rFonts w:ascii="Times New Roman" w:hAnsi="Times New Roman"/>
          <w:sz w:val="24"/>
          <w:szCs w:val="24"/>
        </w:rPr>
        <w:t xml:space="preserve">Примерная форма сведений о конкретных показателях товара:</w:t>
      </w:r>
    </w:p>
    <w:p>
      <w:pPr>
        <w:spacing w:after="0" w:line="240" w:lineRule="auto"/>
        <w:jc w:val="both"/>
        <w:rPr>
          <w:rFonts w:ascii="Times New Roman" w:hAnsi="Times New Roman"/>
          <w:sz w:val="24"/>
          <w:szCs w:val="24"/>
        </w:rPr>
      </w:pPr>
    </w:p>
    <w:tbl>
      <w:tblPr>
        <w:tblStyle w:val="a5"/>
        <w:tblW w:w="10022" w:type="dxa"/>
        <w:jc w:val="center"/>
        <w:tblLayout w:type="fixed"/>
        <w:tblLook w:val="04A0" w:firstRow="1" w:lastRow="0" w:firstColumn="1" w:lastColumn="0" w:noHBand="0" w:noVBand="1"/>
      </w:tblPr>
      <w:tblGrid>
        <w:gridCol w:w="386"/>
        <w:gridCol w:w="1849"/>
        <w:gridCol w:w="1559"/>
        <w:gridCol w:w="1931"/>
        <w:gridCol w:w="1418"/>
        <w:gridCol w:w="1417"/>
        <w:gridCol w:w="1462"/>
      </w:tblGrid>
      <w:tr>
        <w:trPr>
          <w:jc w:val="center"/>
        </w:trPr>
        <w:tc>
          <w:tcPr>
            <w:tcW w:w="386" w:type="dxa"/>
          </w:tcPr>
          <w:p>
            <w:pPr>
              <w:spacing w:after="0" w:line="240" w:lineRule="auto"/>
              <w:jc w:val="center"/>
              <w:rPr>
                <w:rFonts w:ascii="Times New Roman" w:hAnsi="Times New Roman"/>
                <w:sz w:val="24"/>
                <w:szCs w:val="24"/>
                <w:lang w:val="en-US"/>
              </w:rPr>
            </w:pPr>
            <w:r>
              <w:rPr>
                <w:rFonts w:ascii="Times New Roman" w:hAnsi="Times New Roman"/>
                <w:sz w:val="24"/>
                <w:szCs w:val="24"/>
                <w:lang w:val="en-US"/>
              </w:rPr>
              <w:t xml:space="preserve">N</w:t>
            </w:r>
          </w:p>
        </w:tc>
        <w:tc>
          <w:tcPr>
            <w:tcW w:w="1849" w:type="dxa"/>
          </w:tcPr>
          <w:p>
            <w:pPr>
              <w:spacing w:after="0" w:line="240" w:lineRule="auto"/>
              <w:jc w:val="center"/>
              <w:rPr>
                <w:rFonts w:ascii="Times New Roman" w:hAnsi="Times New Roman"/>
                <w:sz w:val="24"/>
                <w:szCs w:val="24"/>
              </w:rPr>
            </w:pPr>
            <w:r>
              <w:rPr>
                <w:rFonts w:ascii="Times New Roman" w:hAnsi="Times New Roman"/>
                <w:sz w:val="24"/>
                <w:szCs w:val="24"/>
              </w:rPr>
              <w:t xml:space="preserve">Наименование товара (в соответствии с </w:t>
            </w:r>
            <w:r>
              <w:rPr>
                <w:rFonts w:ascii="Times New Roman" w:hAnsi="Times New Roman"/>
                <w:sz w:val="24"/>
                <w:szCs w:val="24"/>
              </w:rPr>
              <w:t xml:space="preserve">описанием объекта закупки</w:t>
            </w:r>
            <w:r>
              <w:rPr>
                <w:rFonts w:ascii="Times New Roman" w:hAnsi="Times New Roman"/>
                <w:sz w:val="24"/>
                <w:szCs w:val="24"/>
              </w:rPr>
              <w:t xml:space="preserve">)</w:t>
            </w:r>
          </w:p>
        </w:tc>
        <w:tc>
          <w:tcPr>
            <w:tcW w:w="1559" w:type="dxa"/>
          </w:tcPr>
          <w:p>
            <w:pPr>
              <w:spacing w:after="0" w:line="240" w:lineRule="auto"/>
              <w:jc w:val="center"/>
              <w:rPr>
                <w:rFonts w:ascii="Times New Roman" w:hAnsi="Times New Roman"/>
                <w:sz w:val="24"/>
                <w:szCs w:val="24"/>
              </w:rPr>
            </w:pPr>
            <w:r>
              <w:rPr>
                <w:rFonts w:ascii="Times New Roman" w:hAnsi="Times New Roman"/>
                <w:sz w:val="24"/>
                <w:szCs w:val="24"/>
              </w:rPr>
              <w:t xml:space="preserve">Информация о товарном знаке</w:t>
            </w:r>
          </w:p>
        </w:tc>
        <w:tc>
          <w:tcPr>
            <w:tcW w:w="1931" w:type="dxa"/>
          </w:tcPr>
          <w:p>
            <w:pPr>
              <w:spacing w:after="0" w:line="240" w:lineRule="auto"/>
              <w:jc w:val="center"/>
              <w:rPr>
                <w:rFonts w:ascii="Times New Roman" w:hAnsi="Times New Roman"/>
                <w:sz w:val="24"/>
                <w:szCs w:val="24"/>
              </w:rPr>
            </w:pPr>
            <w:r>
              <w:rPr>
                <w:rFonts w:ascii="Times New Roman" w:hAnsi="Times New Roman"/>
                <w:sz w:val="24"/>
                <w:szCs w:val="24"/>
              </w:rPr>
              <w:t xml:space="preserve">Наименование страны происхождения товара</w:t>
            </w:r>
          </w:p>
        </w:tc>
        <w:tc>
          <w:tcPr>
            <w:tcW w:w="1418" w:type="dxa"/>
          </w:tcPr>
          <w:p>
            <w:pPr>
              <w:spacing w:after="0" w:line="240" w:lineRule="auto"/>
              <w:jc w:val="center"/>
              <w:rPr>
                <w:rFonts w:ascii="Times New Roman" w:hAnsi="Times New Roman"/>
                <w:sz w:val="24"/>
                <w:szCs w:val="24"/>
              </w:rPr>
            </w:pPr>
            <w:r>
              <w:rPr>
                <w:rFonts w:ascii="Times New Roman" w:hAnsi="Times New Roman"/>
                <w:sz w:val="24"/>
                <w:szCs w:val="24"/>
              </w:rPr>
              <w:t xml:space="preserve">Показатель</w:t>
            </w:r>
          </w:p>
        </w:tc>
        <w:tc>
          <w:tcPr>
            <w:tcW w:w="1417" w:type="dxa"/>
          </w:tcPr>
          <w:p>
            <w:pPr>
              <w:spacing w:after="0" w:line="240" w:lineRule="auto"/>
              <w:jc w:val="center"/>
              <w:rPr>
                <w:rFonts w:ascii="Times New Roman" w:hAnsi="Times New Roman"/>
                <w:sz w:val="24"/>
                <w:szCs w:val="24"/>
              </w:rPr>
            </w:pPr>
            <w:r>
              <w:rPr>
                <w:rFonts w:ascii="Times New Roman" w:hAnsi="Times New Roman"/>
                <w:sz w:val="24"/>
                <w:szCs w:val="24"/>
              </w:rPr>
              <w:t xml:space="preserve">Значение показателя</w:t>
            </w:r>
          </w:p>
        </w:tc>
        <w:tc>
          <w:tcPr>
            <w:tcW w:w="1462" w:type="dxa"/>
          </w:tcPr>
          <w:p>
            <w:pPr>
              <w:spacing w:after="0" w:line="240" w:lineRule="auto"/>
              <w:jc w:val="center"/>
              <w:rPr>
                <w:rFonts w:ascii="Times New Roman" w:hAnsi="Times New Roman"/>
                <w:sz w:val="24"/>
                <w:szCs w:val="24"/>
              </w:rPr>
            </w:pPr>
            <w:r>
              <w:rPr>
                <w:rFonts w:ascii="Times New Roman" w:hAnsi="Times New Roman"/>
                <w:sz w:val="24"/>
                <w:szCs w:val="24"/>
              </w:rPr>
              <w:t xml:space="preserve">Единицы измерения</w:t>
            </w:r>
          </w:p>
        </w:tc>
      </w:tr>
      <w:tr>
        <w:trPr>
          <w:jc w:val="center"/>
        </w:trPr>
        <w:tc>
          <w:tcPr>
            <w:tcW w:w="386" w:type="dxa"/>
            <w:vMerge w:val="restart"/>
          </w:tcPr>
          <w:p>
            <w:pPr>
              <w:spacing w:after="0" w:line="240" w:lineRule="auto"/>
              <w:jc w:val="both"/>
              <w:rPr>
                <w:rFonts w:ascii="Times New Roman" w:hAnsi="Times New Roman"/>
                <w:sz w:val="24"/>
                <w:szCs w:val="24"/>
              </w:rPr>
            </w:pPr>
          </w:p>
        </w:tc>
        <w:tc>
          <w:tcPr>
            <w:tcW w:w="1849" w:type="dxa"/>
            <w:vMerge w:val="restart"/>
          </w:tcPr>
          <w:p>
            <w:pPr>
              <w:spacing w:after="0" w:line="240" w:lineRule="auto"/>
              <w:jc w:val="both"/>
              <w:rPr>
                <w:rFonts w:ascii="Times New Roman" w:hAnsi="Times New Roman"/>
                <w:sz w:val="24"/>
                <w:szCs w:val="24"/>
              </w:rPr>
            </w:pPr>
          </w:p>
        </w:tc>
        <w:tc>
          <w:tcPr>
            <w:tcW w:w="1559" w:type="dxa"/>
            <w:vMerge w:val="restart"/>
          </w:tcPr>
          <w:p>
            <w:pPr>
              <w:spacing w:after="0" w:line="240" w:lineRule="auto"/>
              <w:jc w:val="both"/>
              <w:rPr>
                <w:rFonts w:ascii="Times New Roman" w:hAnsi="Times New Roman"/>
                <w:sz w:val="24"/>
                <w:szCs w:val="24"/>
                <w:lang w:val="en-US"/>
              </w:rPr>
            </w:pPr>
          </w:p>
        </w:tc>
        <w:tc>
          <w:tcPr>
            <w:tcW w:w="1931" w:type="dxa"/>
            <w:vMerge w:val="restart"/>
          </w:tcPr>
          <w:p>
            <w:pPr>
              <w:spacing w:after="0" w:line="240" w:lineRule="auto"/>
              <w:jc w:val="both"/>
              <w:rPr>
                <w:rFonts w:ascii="Times New Roman" w:hAnsi="Times New Roman"/>
                <w:sz w:val="24"/>
                <w:szCs w:val="24"/>
              </w:rPr>
            </w:pPr>
          </w:p>
        </w:tc>
        <w:tc>
          <w:tcPr>
            <w:tcW w:w="1418" w:type="dxa"/>
          </w:tcPr>
          <w:p>
            <w:pPr>
              <w:spacing w:after="0" w:line="240" w:lineRule="auto"/>
              <w:jc w:val="both"/>
              <w:rPr>
                <w:rFonts w:ascii="Times New Roman" w:hAnsi="Times New Roman"/>
                <w:sz w:val="24"/>
                <w:szCs w:val="24"/>
              </w:rPr>
            </w:pPr>
          </w:p>
        </w:tc>
        <w:tc>
          <w:tcPr>
            <w:tcW w:w="1417" w:type="dxa"/>
          </w:tcPr>
          <w:p>
            <w:pPr>
              <w:spacing w:after="0" w:line="240" w:lineRule="auto"/>
              <w:jc w:val="both"/>
              <w:rPr>
                <w:rFonts w:ascii="Times New Roman" w:hAnsi="Times New Roman"/>
                <w:sz w:val="24"/>
                <w:szCs w:val="24"/>
              </w:rPr>
            </w:pPr>
          </w:p>
        </w:tc>
        <w:tc>
          <w:tcPr>
            <w:tcW w:w="1462" w:type="dxa"/>
          </w:tcPr>
          <w:p>
            <w:pPr>
              <w:spacing w:after="0" w:line="240" w:lineRule="auto"/>
              <w:jc w:val="both"/>
              <w:rPr>
                <w:rFonts w:ascii="Times New Roman" w:hAnsi="Times New Roman"/>
                <w:sz w:val="24"/>
                <w:szCs w:val="24"/>
              </w:rPr>
            </w:pPr>
          </w:p>
        </w:tc>
      </w:tr>
      <w:tr>
        <w:trPr>
          <w:jc w:val="center"/>
        </w:trPr>
        <w:tc>
          <w:tcPr>
            <w:tcW w:w="386" w:type="dxa"/>
            <w:vMerge w:val="continue"/>
          </w:tcPr>
          <w:p>
            <w:pPr>
              <w:spacing w:after="0" w:line="240" w:lineRule="auto"/>
              <w:jc w:val="both"/>
              <w:rPr>
                <w:rFonts w:ascii="Times New Roman" w:hAnsi="Times New Roman"/>
                <w:sz w:val="24"/>
                <w:szCs w:val="24"/>
              </w:rPr>
            </w:pPr>
          </w:p>
        </w:tc>
        <w:tc>
          <w:tcPr>
            <w:tcW w:w="1849" w:type="dxa"/>
            <w:vMerge w:val="continue"/>
          </w:tcPr>
          <w:p>
            <w:pPr>
              <w:spacing w:after="0" w:line="240" w:lineRule="auto"/>
              <w:jc w:val="both"/>
              <w:rPr>
                <w:rFonts w:ascii="Times New Roman" w:hAnsi="Times New Roman"/>
                <w:sz w:val="24"/>
                <w:szCs w:val="24"/>
              </w:rPr>
            </w:pPr>
          </w:p>
        </w:tc>
        <w:tc>
          <w:tcPr>
            <w:tcW w:w="1559" w:type="dxa"/>
            <w:vMerge w:val="continue"/>
          </w:tcPr>
          <w:p>
            <w:pPr>
              <w:spacing w:after="0" w:line="240" w:lineRule="auto"/>
              <w:jc w:val="both"/>
              <w:rPr>
                <w:rFonts w:ascii="Times New Roman" w:hAnsi="Times New Roman"/>
                <w:sz w:val="24"/>
                <w:szCs w:val="24"/>
              </w:rPr>
            </w:pPr>
          </w:p>
        </w:tc>
        <w:tc>
          <w:tcPr>
            <w:tcW w:w="1931" w:type="dxa"/>
            <w:vMerge w:val="continue"/>
          </w:tcPr>
          <w:p>
            <w:pPr>
              <w:spacing w:after="0" w:line="240" w:lineRule="auto"/>
              <w:jc w:val="both"/>
              <w:rPr>
                <w:rFonts w:ascii="Times New Roman" w:hAnsi="Times New Roman"/>
                <w:sz w:val="24"/>
                <w:szCs w:val="24"/>
              </w:rPr>
            </w:pPr>
          </w:p>
        </w:tc>
        <w:tc>
          <w:tcPr>
            <w:tcW w:w="1418" w:type="dxa"/>
          </w:tcPr>
          <w:p>
            <w:pPr>
              <w:spacing w:after="0" w:line="240" w:lineRule="auto"/>
              <w:jc w:val="both"/>
              <w:rPr>
                <w:rFonts w:ascii="Times New Roman" w:hAnsi="Times New Roman"/>
                <w:sz w:val="24"/>
                <w:szCs w:val="24"/>
              </w:rPr>
            </w:pPr>
          </w:p>
        </w:tc>
        <w:tc>
          <w:tcPr>
            <w:tcW w:w="1417" w:type="dxa"/>
          </w:tcPr>
          <w:p>
            <w:pPr>
              <w:spacing w:after="0" w:line="240" w:lineRule="auto"/>
              <w:jc w:val="both"/>
              <w:rPr>
                <w:rFonts w:ascii="Times New Roman" w:hAnsi="Times New Roman"/>
                <w:sz w:val="24"/>
                <w:szCs w:val="24"/>
              </w:rPr>
            </w:pPr>
          </w:p>
        </w:tc>
        <w:tc>
          <w:tcPr>
            <w:tcW w:w="1462" w:type="dxa"/>
          </w:tcPr>
          <w:p>
            <w:pPr>
              <w:spacing w:after="0" w:line="240" w:lineRule="auto"/>
              <w:jc w:val="both"/>
              <w:rPr>
                <w:rFonts w:ascii="Times New Roman" w:hAnsi="Times New Roman"/>
                <w:sz w:val="24"/>
                <w:szCs w:val="24"/>
              </w:rPr>
            </w:pPr>
          </w:p>
        </w:tc>
      </w:tr>
      <w:tr>
        <w:trPr>
          <w:jc w:val="center"/>
        </w:trPr>
        <w:tc>
          <w:tcPr>
            <w:tcW w:w="386" w:type="dxa"/>
            <w:vMerge w:val="continue"/>
          </w:tcPr>
          <w:p>
            <w:pPr>
              <w:spacing w:after="0" w:line="240" w:lineRule="auto"/>
              <w:jc w:val="both"/>
              <w:rPr>
                <w:rFonts w:ascii="Times New Roman" w:hAnsi="Times New Roman"/>
                <w:sz w:val="24"/>
                <w:szCs w:val="24"/>
              </w:rPr>
            </w:pPr>
          </w:p>
        </w:tc>
        <w:tc>
          <w:tcPr>
            <w:tcW w:w="1849" w:type="dxa"/>
            <w:vMerge w:val="continue"/>
          </w:tcPr>
          <w:p>
            <w:pPr>
              <w:spacing w:after="0" w:line="240" w:lineRule="auto"/>
              <w:jc w:val="both"/>
              <w:rPr>
                <w:rFonts w:ascii="Times New Roman" w:hAnsi="Times New Roman"/>
                <w:sz w:val="24"/>
                <w:szCs w:val="24"/>
              </w:rPr>
            </w:pPr>
          </w:p>
        </w:tc>
        <w:tc>
          <w:tcPr>
            <w:tcW w:w="1559" w:type="dxa"/>
            <w:vMerge w:val="continue"/>
          </w:tcPr>
          <w:p>
            <w:pPr>
              <w:spacing w:after="0" w:line="240" w:lineRule="auto"/>
              <w:jc w:val="both"/>
              <w:rPr>
                <w:rFonts w:ascii="Times New Roman" w:hAnsi="Times New Roman"/>
                <w:sz w:val="24"/>
                <w:szCs w:val="24"/>
              </w:rPr>
            </w:pPr>
          </w:p>
        </w:tc>
        <w:tc>
          <w:tcPr>
            <w:tcW w:w="1931" w:type="dxa"/>
            <w:vMerge w:val="continue"/>
          </w:tcPr>
          <w:p>
            <w:pPr>
              <w:spacing w:after="0" w:line="240" w:lineRule="auto"/>
              <w:jc w:val="both"/>
              <w:rPr>
                <w:rFonts w:ascii="Times New Roman" w:hAnsi="Times New Roman"/>
                <w:sz w:val="24"/>
                <w:szCs w:val="24"/>
              </w:rPr>
            </w:pPr>
          </w:p>
        </w:tc>
        <w:tc>
          <w:tcPr>
            <w:tcW w:w="1418" w:type="dxa"/>
          </w:tcPr>
          <w:p>
            <w:pPr>
              <w:spacing w:after="0" w:line="240" w:lineRule="auto"/>
              <w:jc w:val="both"/>
              <w:rPr>
                <w:rFonts w:ascii="Times New Roman" w:hAnsi="Times New Roman"/>
                <w:sz w:val="24"/>
                <w:szCs w:val="24"/>
              </w:rPr>
            </w:pPr>
          </w:p>
        </w:tc>
        <w:tc>
          <w:tcPr>
            <w:tcW w:w="1417" w:type="dxa"/>
          </w:tcPr>
          <w:p>
            <w:pPr>
              <w:spacing w:after="0" w:line="240" w:lineRule="auto"/>
              <w:jc w:val="both"/>
              <w:rPr>
                <w:rFonts w:ascii="Times New Roman" w:hAnsi="Times New Roman"/>
                <w:sz w:val="24"/>
                <w:szCs w:val="24"/>
              </w:rPr>
            </w:pPr>
          </w:p>
        </w:tc>
        <w:tc>
          <w:tcPr>
            <w:tcW w:w="1462" w:type="dxa"/>
          </w:tcPr>
          <w:p>
            <w:pPr>
              <w:spacing w:after="0" w:line="240" w:lineRule="auto"/>
              <w:jc w:val="both"/>
              <w:rPr>
                <w:rFonts w:ascii="Times New Roman" w:hAnsi="Times New Roman"/>
                <w:sz w:val="24"/>
                <w:szCs w:val="24"/>
              </w:rPr>
            </w:pPr>
          </w:p>
        </w:tc>
      </w:tr>
      <w:tr>
        <w:trPr>
          <w:jc w:val="center"/>
        </w:trPr>
        <w:tc>
          <w:tcPr>
            <w:tcW w:w="386" w:type="dxa"/>
            <w:vMerge w:val="continue"/>
          </w:tcPr>
          <w:p>
            <w:pPr>
              <w:spacing w:after="0" w:line="240" w:lineRule="auto"/>
              <w:jc w:val="both"/>
              <w:rPr>
                <w:rFonts w:ascii="Times New Roman" w:hAnsi="Times New Roman"/>
                <w:sz w:val="24"/>
                <w:szCs w:val="24"/>
              </w:rPr>
            </w:pPr>
          </w:p>
        </w:tc>
        <w:tc>
          <w:tcPr>
            <w:tcW w:w="1849" w:type="dxa"/>
            <w:vMerge w:val="continue"/>
          </w:tcPr>
          <w:p>
            <w:pPr>
              <w:spacing w:after="0" w:line="240" w:lineRule="auto"/>
              <w:jc w:val="both"/>
              <w:rPr>
                <w:rFonts w:ascii="Times New Roman" w:hAnsi="Times New Roman"/>
                <w:sz w:val="24"/>
                <w:szCs w:val="24"/>
              </w:rPr>
            </w:pPr>
          </w:p>
        </w:tc>
        <w:tc>
          <w:tcPr>
            <w:tcW w:w="1559" w:type="dxa"/>
            <w:vMerge w:val="continue"/>
          </w:tcPr>
          <w:p>
            <w:pPr>
              <w:spacing w:after="0" w:line="240" w:lineRule="auto"/>
              <w:jc w:val="both"/>
              <w:rPr>
                <w:rFonts w:ascii="Times New Roman" w:hAnsi="Times New Roman"/>
                <w:sz w:val="24"/>
                <w:szCs w:val="24"/>
              </w:rPr>
            </w:pPr>
          </w:p>
        </w:tc>
        <w:tc>
          <w:tcPr>
            <w:tcW w:w="1931" w:type="dxa"/>
            <w:vMerge w:val="continue"/>
          </w:tcPr>
          <w:p>
            <w:pPr>
              <w:spacing w:after="0" w:line="240" w:lineRule="auto"/>
              <w:jc w:val="both"/>
              <w:rPr>
                <w:rFonts w:ascii="Times New Roman" w:hAnsi="Times New Roman"/>
                <w:sz w:val="24"/>
                <w:szCs w:val="24"/>
              </w:rPr>
            </w:pPr>
          </w:p>
        </w:tc>
        <w:tc>
          <w:tcPr>
            <w:tcW w:w="1418" w:type="dxa"/>
          </w:tcPr>
          <w:p>
            <w:pPr>
              <w:spacing w:after="0" w:line="240" w:lineRule="auto"/>
              <w:jc w:val="both"/>
              <w:rPr>
                <w:rFonts w:ascii="Times New Roman" w:hAnsi="Times New Roman"/>
                <w:sz w:val="24"/>
                <w:szCs w:val="24"/>
              </w:rPr>
            </w:pPr>
          </w:p>
        </w:tc>
        <w:tc>
          <w:tcPr>
            <w:tcW w:w="1417" w:type="dxa"/>
          </w:tcPr>
          <w:p>
            <w:pPr>
              <w:spacing w:after="0" w:line="240" w:lineRule="auto"/>
              <w:jc w:val="both"/>
              <w:rPr>
                <w:rFonts w:ascii="Times New Roman" w:hAnsi="Times New Roman"/>
                <w:sz w:val="24"/>
                <w:szCs w:val="24"/>
              </w:rPr>
            </w:pPr>
          </w:p>
        </w:tc>
        <w:tc>
          <w:tcPr>
            <w:tcW w:w="1462" w:type="dxa"/>
          </w:tcPr>
          <w:p>
            <w:pPr>
              <w:spacing w:after="0" w:line="240" w:lineRule="auto"/>
              <w:jc w:val="both"/>
              <w:rPr>
                <w:rFonts w:ascii="Times New Roman" w:hAnsi="Times New Roman"/>
                <w:sz w:val="24"/>
                <w:szCs w:val="24"/>
              </w:rPr>
            </w:pPr>
          </w:p>
        </w:tc>
      </w:tr>
      <w:tr>
        <w:trPr>
          <w:jc w:val="center"/>
        </w:trPr>
        <w:tc>
          <w:tcPr>
            <w:tcW w:w="386" w:type="dxa"/>
            <w:vMerge w:val="continue"/>
          </w:tcPr>
          <w:p>
            <w:pPr>
              <w:spacing w:after="0" w:line="240" w:lineRule="auto"/>
              <w:jc w:val="both"/>
              <w:rPr>
                <w:rFonts w:ascii="Times New Roman" w:hAnsi="Times New Roman"/>
                <w:sz w:val="24"/>
                <w:szCs w:val="24"/>
              </w:rPr>
            </w:pPr>
          </w:p>
        </w:tc>
        <w:tc>
          <w:tcPr>
            <w:tcW w:w="1849" w:type="dxa"/>
            <w:vMerge w:val="continue"/>
          </w:tcPr>
          <w:p>
            <w:pPr>
              <w:spacing w:after="0" w:line="240" w:lineRule="auto"/>
              <w:jc w:val="both"/>
              <w:rPr>
                <w:rFonts w:ascii="Times New Roman" w:hAnsi="Times New Roman"/>
                <w:sz w:val="24"/>
                <w:szCs w:val="24"/>
              </w:rPr>
            </w:pPr>
          </w:p>
        </w:tc>
        <w:tc>
          <w:tcPr>
            <w:tcW w:w="1559" w:type="dxa"/>
            <w:vMerge w:val="continue"/>
          </w:tcPr>
          <w:p>
            <w:pPr>
              <w:spacing w:after="0" w:line="240" w:lineRule="auto"/>
              <w:jc w:val="both"/>
              <w:rPr>
                <w:rFonts w:ascii="Times New Roman" w:hAnsi="Times New Roman"/>
                <w:sz w:val="24"/>
                <w:szCs w:val="24"/>
              </w:rPr>
            </w:pPr>
          </w:p>
        </w:tc>
        <w:tc>
          <w:tcPr>
            <w:tcW w:w="1931" w:type="dxa"/>
            <w:vMerge w:val="continue"/>
          </w:tcPr>
          <w:p>
            <w:pPr>
              <w:spacing w:after="0" w:line="240" w:lineRule="auto"/>
              <w:jc w:val="both"/>
              <w:rPr>
                <w:rFonts w:ascii="Times New Roman" w:hAnsi="Times New Roman"/>
                <w:sz w:val="24"/>
                <w:szCs w:val="24"/>
              </w:rPr>
            </w:pPr>
          </w:p>
        </w:tc>
        <w:tc>
          <w:tcPr>
            <w:tcW w:w="1418" w:type="dxa"/>
          </w:tcPr>
          <w:p>
            <w:pPr>
              <w:spacing w:after="0" w:line="240" w:lineRule="auto"/>
              <w:jc w:val="both"/>
              <w:rPr>
                <w:rFonts w:ascii="Times New Roman" w:hAnsi="Times New Roman"/>
                <w:sz w:val="24"/>
                <w:szCs w:val="24"/>
              </w:rPr>
            </w:pPr>
          </w:p>
        </w:tc>
        <w:tc>
          <w:tcPr>
            <w:tcW w:w="1417" w:type="dxa"/>
          </w:tcPr>
          <w:p>
            <w:pPr>
              <w:spacing w:after="0" w:line="240" w:lineRule="auto"/>
              <w:jc w:val="both"/>
              <w:rPr>
                <w:rFonts w:ascii="Times New Roman" w:hAnsi="Times New Roman"/>
                <w:sz w:val="24"/>
                <w:szCs w:val="24"/>
              </w:rPr>
            </w:pPr>
          </w:p>
        </w:tc>
        <w:tc>
          <w:tcPr>
            <w:tcW w:w="1462" w:type="dxa"/>
          </w:tcPr>
          <w:p>
            <w:pPr>
              <w:spacing w:after="0" w:line="240" w:lineRule="auto"/>
              <w:jc w:val="both"/>
              <w:rPr>
                <w:rFonts w:ascii="Times New Roman" w:hAnsi="Times New Roman"/>
                <w:sz w:val="24"/>
                <w:szCs w:val="24"/>
              </w:rPr>
            </w:pPr>
          </w:p>
        </w:tc>
      </w:tr>
    </w:tbl>
    <w:p>
      <w:pPr>
        <w:spacing w:after="0" w:line="240" w:lineRule="auto"/>
        <w:jc w:val="both"/>
        <w:rPr>
          <w:rFonts w:ascii="Times New Roman" w:hAnsi="Times New Roman"/>
          <w:sz w:val="24"/>
          <w:szCs w:val="24"/>
        </w:rPr>
      </w:pPr>
    </w:p>
    <w:p>
      <w:bookmarkStart w:id="1" w:name="_GoBack"/>
      <w:bookmarkEnd w:id="1"/>
    </w:p>
    <w:sectPr>
      <w:headerReference w:type="default" r:id="rId7"/>
      <w:pgSz w:w="11906" w:h="16838"/>
      <w:pgMar w:top="567" w:right="567" w:bottom="567" w:left="567" w:header="397"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font>
  <w:font w:name="Symbol">
    <w:panose1 w:val="05050102010706020507"/>
  </w:font>
  <w:font w:name="Courier New">
    <w:panose1 w:val="02070309020205020404"/>
  </w:font>
  <w:font w:name="Times New Roman">
    <w:panose1 w:val="02020603050405020304"/>
  </w:font>
  <w:font w:name="Calibri">
    <w:panose1 w:val="020F0502020204030204"/>
  </w:font>
  <w:font w:name="Cambria">
    <w:panose1 w:val="02040503050406030204"/>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a3"/>
      <w:spacing w:line="240" w:lineRule="auto"/>
      <w:jc w:val="right"/>
      <w:rPr>
        <w:rFonts w:ascii="Times New Roman" w:hAnsi="Times New Roman"/>
        <w:sz w:val="14"/>
        <w:szCs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lvlText w:val=""/>
      <w:lvlJc w:val="left"/>
      <w:pPr>
        <w:tabs>
          <w:tab w:val="num" w:pos="540"/>
        </w:tabs>
        <w:ind w:left="540" w:hanging="227"/>
      </w:pPr>
      <w:rPr>
        <w:rFonts w:hint="default" w:ascii="Symbol" w:hAnsi="Symbol"/>
      </w:rPr>
    </w:lvl>
    <w:lvl w:ilvl="1">
      <w:start w:val="1"/>
      <w:numFmt w:val="bullet"/>
      <w:lvlText w:val="o"/>
      <w:lvlJc w:val="left"/>
      <w:pPr>
        <w:tabs>
          <w:tab w:val="num" w:pos="1080"/>
        </w:tabs>
        <w:ind w:left="1080" w:hanging="227"/>
      </w:pPr>
      <w:rPr>
        <w:rFonts w:hint="default" w:ascii="Courier New" w:hAnsi="Courier New"/>
      </w:rPr>
    </w:lvl>
    <w:lvl w:ilvl="2">
      <w:start w:val="1"/>
      <w:numFmt w:val="bullet"/>
      <w:lvlText w:val="o"/>
      <w:lvlJc w:val="left"/>
      <w:pPr>
        <w:tabs>
          <w:tab w:val="num" w:pos="1080"/>
        </w:tabs>
        <w:ind w:left="1080" w:hanging="227"/>
      </w:pPr>
      <w:rPr>
        <w:rFonts w:hint="default" w:ascii="Courier New" w:hAnsi="Courier New"/>
      </w:rPr>
    </w:lvl>
    <w:lvl w:ilvl="3">
      <w:start w:val="1"/>
      <w:numFmt w:val="bullet"/>
      <w:lvlText w:val="o"/>
      <w:lvlJc w:val="left"/>
      <w:pPr>
        <w:tabs>
          <w:tab w:val="num" w:pos="1080"/>
        </w:tabs>
        <w:ind w:left="1080" w:hanging="227"/>
      </w:pPr>
      <w:rPr>
        <w:rFonts w:hint="default" w:ascii="Courier New" w:hAnsi="Courier New"/>
      </w:rPr>
    </w:lvl>
    <w:lvl w:ilvl="4">
      <w:start w:val="1"/>
      <w:numFmt w:val="bullet"/>
      <w:lvlText w:val="o"/>
      <w:lvlJc w:val="left"/>
      <w:pPr>
        <w:tabs>
          <w:tab w:val="num" w:pos="1080"/>
        </w:tabs>
        <w:ind w:left="1080" w:hanging="227"/>
      </w:pPr>
      <w:rPr>
        <w:rFonts w:hint="default" w:ascii="Courier New" w:hAnsi="Courier New"/>
      </w:rPr>
    </w:lvl>
    <w:lvl w:ilvl="5">
      <w:start w:val="1"/>
      <w:numFmt w:val="bullet"/>
      <w:lvlText w:val="o"/>
      <w:lvlJc w:val="left"/>
      <w:pPr>
        <w:tabs>
          <w:tab w:val="num" w:pos="1080"/>
        </w:tabs>
        <w:ind w:left="1080" w:hanging="227"/>
      </w:pPr>
      <w:rPr>
        <w:rFonts w:hint="default" w:ascii="Courier New" w:hAnsi="Courier New"/>
      </w:rPr>
    </w:lvl>
    <w:lvl w:ilvl="6">
      <w:start w:val="1"/>
      <w:numFmt w:val="bullet"/>
      <w:lvlText w:val="o"/>
      <w:lvlJc w:val="left"/>
      <w:pPr>
        <w:tabs>
          <w:tab w:val="num" w:pos="1080"/>
        </w:tabs>
        <w:ind w:left="1080" w:hanging="227"/>
      </w:pPr>
      <w:rPr>
        <w:rFonts w:hint="default" w:ascii="Courier New" w:hAnsi="Courier New"/>
      </w:rPr>
    </w:lvl>
    <w:lvl w:ilvl="7">
      <w:start w:val="1"/>
      <w:numFmt w:val="bullet"/>
      <w:lvlText w:val="o"/>
      <w:lvlJc w:val="left"/>
      <w:pPr>
        <w:tabs>
          <w:tab w:val="num" w:pos="1080"/>
        </w:tabs>
        <w:ind w:left="1080" w:hanging="227"/>
      </w:pPr>
      <w:rPr>
        <w:rFonts w:hint="default" w:ascii="Courier New" w:hAnsi="Courier New"/>
      </w:rPr>
    </w:lvl>
    <w:lvl w:ilvl="8">
      <w:start w:val="1"/>
      <w:numFmt w:val="bullet"/>
      <w:lvlText w:val="o"/>
      <w:lvlJc w:val="left"/>
      <w:pPr>
        <w:tabs>
          <w:tab w:val="num" w:pos="1080"/>
        </w:tabs>
        <w:ind w:left="1080" w:hanging="227"/>
      </w:pPr>
      <w:rPr>
        <w:rFonts w:hint="default" w:ascii="Courier New" w:hAnsi="Courier New"/>
      </w:rPr>
    </w:lvl>
  </w:abstractNum>
  <w:abstractNum w:abstractNumId="1">
    <w:multiLevelType w:val="hybridMultilevel"/>
    <w:lvl w:ilvl="0">
      <w:start w:val="1"/>
      <w:numFmt w:val="bullet"/>
      <w:lvlText w:val=""/>
      <w:lvlJc w:val="left"/>
      <w:pPr>
        <w:tabs>
          <w:tab w:val="num" w:pos="540"/>
        </w:tabs>
        <w:ind w:left="540" w:hanging="227"/>
      </w:pPr>
      <w:rPr>
        <w:rFonts w:hint="default" w:ascii="Symbol" w:hAnsi="Symbol"/>
      </w:rPr>
    </w:lvl>
    <w:lvl w:ilvl="1">
      <w:start w:val="1"/>
      <w:numFmt w:val="bullet"/>
      <w:lvlText w:val=""/>
      <w:lvlJc w:val="left"/>
      <w:pPr>
        <w:tabs>
          <w:tab w:val="num" w:pos="540"/>
        </w:tabs>
        <w:ind w:left="540" w:hanging="227"/>
      </w:pPr>
      <w:rPr>
        <w:rFonts w:hint="default" w:ascii="Symbol" w:hAnsi="Symbol"/>
      </w:rPr>
    </w:lvl>
    <w:lvl w:ilvl="2">
      <w:start w:val="1"/>
      <w:numFmt w:val="bullet"/>
      <w:lvlText w:val=""/>
      <w:lvlJc w:val="left"/>
      <w:pPr>
        <w:tabs>
          <w:tab w:val="num" w:pos="540"/>
        </w:tabs>
        <w:ind w:left="540" w:hanging="227"/>
      </w:pPr>
      <w:rPr>
        <w:rFonts w:hint="default" w:ascii="Symbol" w:hAnsi="Symbol"/>
      </w:rPr>
    </w:lvl>
    <w:lvl w:ilvl="3">
      <w:start w:val="1"/>
      <w:numFmt w:val="bullet"/>
      <w:lvlText w:val=""/>
      <w:lvlJc w:val="left"/>
      <w:pPr>
        <w:tabs>
          <w:tab w:val="num" w:pos="540"/>
        </w:tabs>
        <w:ind w:left="540" w:hanging="227"/>
      </w:pPr>
      <w:rPr>
        <w:rFonts w:hint="default" w:ascii="Symbol" w:hAnsi="Symbol"/>
      </w:rPr>
    </w:lvl>
    <w:lvl w:ilvl="4">
      <w:start w:val="1"/>
      <w:numFmt w:val="bullet"/>
      <w:lvlText w:val=""/>
      <w:lvlJc w:val="left"/>
      <w:pPr>
        <w:tabs>
          <w:tab w:val="num" w:pos="540"/>
        </w:tabs>
        <w:ind w:left="540" w:hanging="227"/>
      </w:pPr>
      <w:rPr>
        <w:rFonts w:hint="default" w:ascii="Symbol" w:hAnsi="Symbol"/>
      </w:rPr>
    </w:lvl>
    <w:lvl w:ilvl="5">
      <w:start w:val="1"/>
      <w:numFmt w:val="bullet"/>
      <w:lvlText w:val=""/>
      <w:lvlJc w:val="left"/>
      <w:pPr>
        <w:tabs>
          <w:tab w:val="num" w:pos="540"/>
        </w:tabs>
        <w:ind w:left="540" w:hanging="227"/>
      </w:pPr>
      <w:rPr>
        <w:rFonts w:hint="default" w:ascii="Symbol" w:hAnsi="Symbol"/>
      </w:rPr>
    </w:lvl>
    <w:lvl w:ilvl="6">
      <w:start w:val="1"/>
      <w:numFmt w:val="bullet"/>
      <w:lvlText w:val=""/>
      <w:lvlJc w:val="left"/>
      <w:pPr>
        <w:tabs>
          <w:tab w:val="num" w:pos="540"/>
        </w:tabs>
        <w:ind w:left="540" w:hanging="227"/>
      </w:pPr>
      <w:rPr>
        <w:rFonts w:hint="default" w:ascii="Symbol" w:hAnsi="Symbol"/>
      </w:rPr>
    </w:lvl>
    <w:lvl w:ilvl="7">
      <w:start w:val="1"/>
      <w:numFmt w:val="bullet"/>
      <w:lvlText w:val=""/>
      <w:lvlJc w:val="left"/>
      <w:pPr>
        <w:tabs>
          <w:tab w:val="num" w:pos="540"/>
        </w:tabs>
        <w:ind w:left="540" w:hanging="227"/>
      </w:pPr>
      <w:rPr>
        <w:rFonts w:hint="default" w:ascii="Symbol" w:hAnsi="Symbol"/>
      </w:rPr>
    </w:lvl>
    <w:lvl w:ilvl="8">
      <w:start w:val="1"/>
      <w:numFmt w:val="bullet"/>
      <w:lvlText w:val=""/>
      <w:lvlJc w:val="left"/>
      <w:pPr>
        <w:tabs>
          <w:tab w:val="num" w:pos="540"/>
        </w:tabs>
        <w:ind w:left="540" w:hanging="227"/>
      </w:pPr>
      <w:rPr>
        <w:rFonts w:hint="default" w:ascii="Symbol" w:hAnsi="Symbol"/>
      </w:rPr>
    </w:lvl>
  </w:abstractNum>
  <w:abstractNum w:abstractNumId="2">
    <w:multiLevelType w:val="hybridMultilevel"/>
    <w:lvl w:ilvl="0" w:tplc="04190001">
      <w:start w:val="1"/>
      <w:numFmt w:val="bullet"/>
      <w:lvlText w:val=""/>
      <w:lvlJc w:val="left"/>
      <w:pPr>
        <w:ind w:left="720" w:hanging="360"/>
      </w:pPr>
      <w:rPr>
        <w:rFonts w:hint="default" w:ascii="Symbol" w:hAnsi="Symbol"/>
      </w:rPr>
    </w:lvl>
    <w:lvl w:ilvl="1" w:tentative="1" w:tplc="04190003">
      <w:start w:val="1"/>
      <w:numFmt w:val="bullet"/>
      <w:lvlText w:val="o"/>
      <w:lvlJc w:val="left"/>
      <w:pPr>
        <w:ind w:left="1440" w:hanging="360"/>
      </w:pPr>
      <w:rPr>
        <w:rFonts w:hint="default" w:ascii="Courier New" w:hAnsi="Courier New"/>
      </w:rPr>
    </w:lvl>
    <w:lvl w:ilvl="2" w:tentative="1" w:tplc="04190005">
      <w:start w:val="1"/>
      <w:numFmt w:val="bullet"/>
      <w:lvlText w:val=""/>
      <w:lvlJc w:val="left"/>
      <w:pPr>
        <w:ind w:left="2160" w:hanging="360"/>
      </w:pPr>
      <w:rPr>
        <w:rFonts w:hint="default" w:ascii="Wingdings" w:hAnsi="Wingdings"/>
      </w:rPr>
    </w:lvl>
    <w:lvl w:ilvl="3" w:tentative="1" w:tplc="04190001">
      <w:start w:val="1"/>
      <w:numFmt w:val="bullet"/>
      <w:lvlText w:val=""/>
      <w:lvlJc w:val="left"/>
      <w:pPr>
        <w:ind w:left="2880" w:hanging="360"/>
      </w:pPr>
      <w:rPr>
        <w:rFonts w:hint="default" w:ascii="Symbol" w:hAnsi="Symbol"/>
      </w:rPr>
    </w:lvl>
    <w:lvl w:ilvl="4" w:tentative="1" w:tplc="04190003">
      <w:start w:val="1"/>
      <w:numFmt w:val="bullet"/>
      <w:lvlText w:val="o"/>
      <w:lvlJc w:val="left"/>
      <w:pPr>
        <w:ind w:left="3600" w:hanging="360"/>
      </w:pPr>
      <w:rPr>
        <w:rFonts w:hint="default" w:ascii="Courier New" w:hAnsi="Courier New"/>
      </w:rPr>
    </w:lvl>
    <w:lvl w:ilvl="5" w:tentative="1" w:tplc="04190005">
      <w:start w:val="1"/>
      <w:numFmt w:val="bullet"/>
      <w:lvlText w:val=""/>
      <w:lvlJc w:val="left"/>
      <w:pPr>
        <w:ind w:left="4320" w:hanging="360"/>
      </w:pPr>
      <w:rPr>
        <w:rFonts w:hint="default" w:ascii="Wingdings" w:hAnsi="Wingdings"/>
      </w:rPr>
    </w:lvl>
    <w:lvl w:ilvl="6" w:tentative="1" w:tplc="04190001">
      <w:start w:val="1"/>
      <w:numFmt w:val="bullet"/>
      <w:lvlText w:val=""/>
      <w:lvlJc w:val="left"/>
      <w:pPr>
        <w:ind w:left="5040" w:hanging="360"/>
      </w:pPr>
      <w:rPr>
        <w:rFonts w:hint="default" w:ascii="Symbol" w:hAnsi="Symbol"/>
      </w:rPr>
    </w:lvl>
    <w:lvl w:ilvl="7" w:tentative="1" w:tplc="04190003">
      <w:start w:val="1"/>
      <w:numFmt w:val="bullet"/>
      <w:lvlText w:val="o"/>
      <w:lvlJc w:val="left"/>
      <w:pPr>
        <w:ind w:left="5760" w:hanging="360"/>
      </w:pPr>
      <w:rPr>
        <w:rFonts w:hint="default" w:ascii="Courier New" w:hAnsi="Courier New"/>
      </w:rPr>
    </w:lvl>
    <w:lvl w:ilvl="8" w:tentative="1" w:tplc="04190005">
      <w:start w:val="1"/>
      <w:numFmt w:val="bullet"/>
      <w:lvlText w:val=""/>
      <w:lvlJc w:val="left"/>
      <w:pPr>
        <w:ind w:left="6480" w:hanging="360"/>
      </w:pPr>
      <w:rPr>
        <w:rFonts w:hint="default" w:ascii="Wingdings" w:hAnsi="Wingdings"/>
      </w:rPr>
    </w:lvl>
  </w:abstractNum>
  <w:num w:numId="1">
    <w:abstractNumId w:val="2"/>
  </w:num>
  <w:num w:numId="2">
    <w:abstractNumId w:val="0"/>
    <w:lvlOverride w:ilvl="0">
      <w:startOverride w:val="1"/>
    </w:lvlOverride>
  </w:num>
  <w:num w:numId="3">
    <w:abstractNumId w:val="1"/>
    <w:lvlOverride w:ilvl="0">
      <w:startOverride w:val="1"/>
    </w:lvlOverride>
  </w:num>
  <w:num w:numId="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a" w:default="1">
    <w:name w:val="Normal"/>
    <w:qFormat/>
    <w:pPr>
      <w:spacing w:after="200" w:line="276" w:lineRule="auto"/>
    </w:pPr>
    <w:rPr>
      <w:rFonts w:ascii="Calibri" w:hAnsi="Calibri" w:eastAsia="Times New Roman" w:cs="Times New Roman"/>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left w:w="108" w:type="dxa"/>
        <w:top w:w="0" w:type="dxa"/>
        <w:right w:w="108" w:type="dxa"/>
        <w:bottom w:w="0" w:type="dxa"/>
      </w:tblCellMar>
    </w:tblPr>
  </w:style>
  <w:style w:type="numbering" w:styleId="a2" w:default="1">
    <w:name w:val="No List"/>
    <w:uiPriority w:val="99"/>
    <w:semiHidden/>
    <w:unhideWhenUsed/>
  </w:style>
  <w:style w:type="paragraph" w:styleId="a3">
    <w:name w:val="header"/>
    <w:basedOn w:val="a"/>
    <w:link w:val="a4"/>
    <w:uiPriority w:val="99"/>
    <w:unhideWhenUsed/>
    <w:pPr>
      <w:tabs>
        <w:tab w:val="center" w:pos="4677"/>
        <w:tab w:val="right" w:pos="9355"/>
      </w:tabs>
    </w:pPr>
  </w:style>
  <w:style w:type="character" w:styleId="a4" w:customStyle="1">
    <w:name w:val="Верхний колонтитул Знак"/>
    <w:basedOn w:val="a0"/>
    <w:link w:val="a3"/>
    <w:uiPriority w:val="99"/>
    <w:rPr>
      <w:rFonts w:ascii="Calibri" w:hAnsi="Calibri" w:eastAsia="Times New Roman" w:cs="Times New Roman"/>
    </w:rPr>
  </w:style>
  <w:style w:type="table" w:styleId="a5">
    <w:name w:val="Table Grid"/>
    <w:basedOn w:val="a1"/>
    <w:uiPriority w:val="59"/>
    <w:pPr>
      <w:spacing w:after="0" w:line="240" w:lineRule="auto"/>
    </w:pPr>
    <w:rPr>
      <w:rFonts w:ascii="Calibri" w:hAnsi="Calibri"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nsNormal" w:customStyle="1">
    <w:name w:val="ConsNormal"/>
    <w:pPr>
      <w:spacing w:after="0" w:line="240" w:lineRule="auto"/>
      <w:jc w:val="both"/>
    </w:pPr>
    <w:rPr>
      <w:rFonts w:ascii="Courier New" w:hAnsi="Courier New" w:eastAsia="Times New Roman" w:cs="Courier New"/>
      <w:sz w:val="20"/>
      <w:szCs w:val="20"/>
      <w:lang w:eastAsia="ru-RU"/>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header" Target="header1.xml" /></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Arial"/>
        <a:cs typeface="Arial"/>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Arial"/>
        <a:cs typeface="Arial"/>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Р7-Офис/2024.3.1.523</Application>
  <Characters>11121</Characters>
  <CharactersWithSpaces>13045</CharactersWithSpaces>
  <Company/>
  <DocSecurity>0</DocSecurity>
  <HyperlinksChanged>false</HyperlinksChanged>
  <Lines>92</Lines>
  <LinksUpToDate>false</LinksUpToDate>
  <Pages>4</Pages>
  <Paragraphs>26</Paragraphs>
  <ScaleCrop>false</ScaleCrop>
  <SharedDoc>false</SharedDoc>
  <Template>Normal</Template>
  <TotalTime>1</TotalTime>
  <Words>1950</Word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Гурова Елена Александровна</dc:creator>
  <cp:keywords/>
  <dc:description/>
  <cp:lastModifiedBy>Гурова Елена Александровна</cp:lastModifiedBy>
  <cp:revision>1</cp:revision>
  <dcterms:created xsi:type="dcterms:W3CDTF">2024-02-15T12:38:00Z</dcterms:created>
  <dcterms:modified xsi:type="dcterms:W3CDTF">2024-02-15T12:39:00Z</dcterms:modified>
</cp:coreProperties>
</file>