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pStyle w:val="Style_4"/>
        <w:ind/>
        <w:jc w:val="center"/>
      </w:pPr>
      <w:r>
        <w:t xml:space="preserve"> ИЗВЕЩЕНИЕ О ПРОВЕДЕНИИ ЗАКУПКИ/ </w:t>
      </w:r>
    </w:p>
    <w:p w14:paraId="09000000">
      <w:pPr>
        <w:pStyle w:val="Style_4"/>
        <w:ind/>
        <w:jc w:val="center"/>
      </w:pPr>
      <w:r>
        <w:t>ДОКУМЕНТАЦИЯ О ЗАКУПКЕ</w:t>
      </w:r>
    </w:p>
    <w:p w14:paraId="0A000000">
      <w:pPr>
        <w:pStyle w:val="Style_4"/>
        <w:ind/>
        <w:jc w:val="center"/>
        <w:rPr>
          <w:i w:val="1"/>
        </w:rPr>
      </w:pPr>
    </w:p>
    <w:p w14:paraId="0B000000">
      <w:pPr>
        <w:pStyle w:val="Style_4"/>
        <w:ind w:firstLine="708"/>
        <w:rPr>
          <w:i w:val="1"/>
        </w:rPr>
      </w:pPr>
      <w:r>
        <w:t xml:space="preserve">1. Способ закупки: </w:t>
      </w:r>
      <w:r>
        <w:rPr>
          <w:i w:val="1"/>
        </w:rPr>
        <w:t>Мелкая закупка.</w:t>
      </w:r>
    </w:p>
    <w:p w14:paraId="0C000000">
      <w:pPr>
        <w:tabs>
          <w:tab w:leader="none" w:pos="709" w:val="left"/>
        </w:tabs>
        <w:ind/>
        <w:jc w:val="both"/>
      </w:pPr>
      <w:r>
        <w:tab/>
      </w:r>
      <w:r>
        <w:t xml:space="preserve">2. Основание выбора способа закупки по Единому отраслевому стандарту закупок (Положению о закупке) Госкорпорации «Росатом»: </w:t>
      </w:r>
      <w:r>
        <w:rPr>
          <w:i w:val="1"/>
        </w:rPr>
        <w:t>п.1 а) ч.1 ст.4.2.2.</w:t>
      </w:r>
    </w:p>
    <w:p w14:paraId="0D000000">
      <w:pPr>
        <w:pStyle w:val="Style_4"/>
        <w:tabs>
          <w:tab w:leader="none" w:pos="709" w:val="left"/>
        </w:tabs>
        <w:ind/>
        <w:jc w:val="both"/>
        <w:rPr>
          <w:i w:val="1"/>
        </w:rPr>
      </w:pPr>
      <w:r>
        <w:tab/>
      </w:r>
      <w:r>
        <w:t xml:space="preserve">3. Наименование заказчика: </w:t>
      </w:r>
      <w:r>
        <w:rPr>
          <w:i w:val="1"/>
        </w:rPr>
        <w:t xml:space="preserve">Общество с ограниченной ответственностью «Ижорские сварочные материалы». </w:t>
      </w:r>
    </w:p>
    <w:p w14:paraId="0E000000">
      <w:pPr>
        <w:pStyle w:val="Style_4"/>
        <w:tabs>
          <w:tab w:leader="none" w:pos="709" w:val="left"/>
        </w:tabs>
        <w:ind/>
        <w:jc w:val="both"/>
        <w:rPr>
          <w:i w:val="1"/>
        </w:rPr>
      </w:pPr>
      <w:r>
        <w:tab/>
      </w:r>
      <w:r>
        <w:t xml:space="preserve">4. Местонахождение: </w:t>
      </w:r>
      <w:r>
        <w:rPr>
          <w:i w:val="1"/>
        </w:rPr>
        <w:t>196650, Россия, Санкт-Петербург, г. Колпино, территория Ижорские заводы, д.67, лит. БХ.</w:t>
      </w:r>
    </w:p>
    <w:p w14:paraId="0F000000">
      <w:pPr>
        <w:pStyle w:val="Style_4"/>
        <w:tabs>
          <w:tab w:leader="none" w:pos="709" w:val="left"/>
        </w:tabs>
        <w:ind/>
        <w:jc w:val="both"/>
        <w:rPr>
          <w:i w:val="1"/>
        </w:rPr>
      </w:pPr>
      <w:r>
        <w:tab/>
      </w:r>
      <w:r>
        <w:t xml:space="preserve">Почтовый адрес: </w:t>
      </w:r>
      <w:r>
        <w:rPr>
          <w:i w:val="1"/>
        </w:rPr>
        <w:t>196650, Россия, Санкт-Петербург, г. Колпино, пр. Ленина, д.1,  а/я 100</w:t>
      </w:r>
    </w:p>
    <w:p w14:paraId="10000000">
      <w:pPr>
        <w:pStyle w:val="Style_4"/>
        <w:tabs>
          <w:tab w:leader="none" w:pos="709" w:val="left"/>
        </w:tabs>
        <w:ind/>
        <w:jc w:val="both"/>
        <w:rPr>
          <w:i w:val="1"/>
        </w:rPr>
      </w:pPr>
      <w:r>
        <w:tab/>
      </w:r>
      <w:r>
        <w:t>Контактное лицо:</w:t>
      </w:r>
      <w:r>
        <w:rPr>
          <w:i w:val="1"/>
        </w:rPr>
        <w:t xml:space="preserve"> Руководитель направления по проведению закупочных процедур - Малыгина Татьяна Валерьевна</w:t>
      </w:r>
    </w:p>
    <w:p w14:paraId="11000000">
      <w:pPr>
        <w:pStyle w:val="Style_4"/>
        <w:tabs>
          <w:tab w:leader="none" w:pos="709" w:val="left"/>
        </w:tabs>
        <w:ind/>
        <w:jc w:val="both"/>
      </w:pPr>
      <w:r>
        <w:tab/>
      </w:r>
      <w:r>
        <w:t xml:space="preserve">Контактный телефон/факс: </w:t>
      </w:r>
      <w:r>
        <w:rPr>
          <w:i w:val="1"/>
        </w:rPr>
        <w:t>8-812-322-84-</w:t>
      </w:r>
      <w:r>
        <w:rPr>
          <w:i w:val="1"/>
        </w:rPr>
        <w:t>93/10</w:t>
      </w:r>
      <w:r>
        <w:t xml:space="preserve"> </w:t>
      </w:r>
    </w:p>
    <w:p w14:paraId="12000000">
      <w:pPr>
        <w:pStyle w:val="Style_4"/>
        <w:tabs>
          <w:tab w:leader="none" w:pos="709" w:val="left"/>
        </w:tabs>
        <w:ind/>
        <w:jc w:val="both"/>
      </w:pPr>
      <w:r>
        <w:tab/>
      </w:r>
      <w:r>
        <w:t xml:space="preserve">Электронная почта: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"mailto:malygina_tv@aemtech-iz.ru"</w:instrText>
      </w:r>
      <w:r>
        <w:rPr>
          <w:rStyle w:val="Style_5_ch"/>
        </w:rPr>
        <w:fldChar w:fldCharType="separate"/>
      </w:r>
      <w:r>
        <w:rPr>
          <w:rStyle w:val="Style_5_ch"/>
        </w:rPr>
        <w:t>malygina_tv@aemtech-iz.ru</w:t>
      </w:r>
      <w:r>
        <w:rPr>
          <w:rStyle w:val="Style_5_ch"/>
        </w:rPr>
        <w:fldChar w:fldCharType="end"/>
      </w:r>
    </w:p>
    <w:p w14:paraId="13000000">
      <w:pPr>
        <w:tabs>
          <w:tab w:leader="none" w:pos="5772" w:val="left"/>
        </w:tabs>
        <w:ind w:hanging="142" w:left="-425" w:right="481"/>
        <w:jc w:val="center"/>
        <w:rPr>
          <w:b w:val="1"/>
        </w:rPr>
      </w:pPr>
      <w:r>
        <w:t>5. Предмет договора:</w:t>
      </w:r>
      <w:r>
        <w:t xml:space="preserve"> </w:t>
      </w:r>
      <w:r>
        <w:rPr>
          <w:b w:val="1"/>
        </w:rPr>
        <w:t>Поставка респираторов</w:t>
      </w:r>
    </w:p>
    <w:p w14:paraId="14000000">
      <w:pPr>
        <w:tabs>
          <w:tab w:leader="none" w:pos="5772" w:val="left"/>
        </w:tabs>
        <w:ind w:hanging="142" w:left="284" w:right="481"/>
        <w:jc w:val="center"/>
      </w:pPr>
      <w:r>
        <w:t>6. Состав, объем и количество товаров, работ, услуг:</w:t>
      </w:r>
      <w:r>
        <w:rPr>
          <w:i w:val="1"/>
        </w:rPr>
        <w:t xml:space="preserve"> в соответствии с техническим заданием и проектом договора.</w:t>
      </w:r>
    </w:p>
    <w:p w14:paraId="15000000">
      <w:pPr>
        <w:tabs>
          <w:tab w:leader="none" w:pos="709" w:val="left"/>
        </w:tabs>
        <w:ind/>
        <w:jc w:val="both"/>
      </w:pPr>
      <w:r>
        <w:tab/>
      </w:r>
      <w:r>
        <w:t>7. Срок (период) поставки товара, выполнения работ, оказания услуг:</w:t>
      </w:r>
      <w:r>
        <w:rPr>
          <w:i w:val="1"/>
        </w:rPr>
        <w:t xml:space="preserve"> в соответствии с проектом договора.</w:t>
      </w:r>
      <w:r>
        <w:tab/>
      </w:r>
    </w:p>
    <w:p w14:paraId="16000000">
      <w:pPr>
        <w:tabs>
          <w:tab w:leader="none" w:pos="709" w:val="left"/>
        </w:tabs>
        <w:ind/>
        <w:jc w:val="both"/>
      </w:pPr>
      <w:r>
        <w:tab/>
      </w:r>
      <w:r>
        <w:t xml:space="preserve">8. Условия поставки товара, выполнения работ, оказания услуг: </w:t>
      </w:r>
      <w:r>
        <w:rPr>
          <w:i w:val="1"/>
        </w:rPr>
        <w:t>в соответствии с проектом договора.</w:t>
      </w:r>
      <w:r>
        <w:t xml:space="preserve"> </w:t>
      </w:r>
    </w:p>
    <w:p w14:paraId="17000000">
      <w:pPr>
        <w:tabs>
          <w:tab w:leader="none" w:pos="709" w:val="left"/>
        </w:tabs>
        <w:ind/>
        <w:jc w:val="both"/>
      </w:pPr>
      <w:r>
        <w:tab/>
      </w:r>
      <w:r>
        <w:t>9. Место поставки товара, выполнения работ, оказания услуг:</w:t>
      </w:r>
      <w:r>
        <w:rPr>
          <w:i w:val="1"/>
        </w:rPr>
        <w:t xml:space="preserve"> в соответствии с проектом договора.</w:t>
      </w:r>
      <w:r>
        <w:t xml:space="preserve"> </w:t>
      </w:r>
    </w:p>
    <w:p w14:paraId="18000000">
      <w:pPr>
        <w:tabs>
          <w:tab w:leader="none" w:pos="15360" w:val="left"/>
        </w:tabs>
        <w:ind w:hanging="142" w:left="284" w:right="481"/>
        <w:jc w:val="both"/>
        <w:rPr>
          <w:b w:val="1"/>
        </w:rPr>
      </w:pPr>
      <w:r>
        <w:tab/>
      </w:r>
      <w:r>
        <w:t>10. Сведения о начальн</w:t>
      </w:r>
      <w:r>
        <w:t>ой (максимальной) цене договора</w:t>
      </w:r>
      <w:r>
        <w:rPr>
          <w:b w:val="1"/>
        </w:rPr>
        <w:t>:</w:t>
      </w:r>
      <w:r>
        <w:t xml:space="preserve"> </w:t>
      </w:r>
      <w:r>
        <w:rPr>
          <w:rFonts w:ascii="Times New Roman" w:hAnsi="Times New Roman"/>
          <w:b w:val="1"/>
          <w:sz w:val="24"/>
        </w:rPr>
        <w:t>627</w:t>
      </w:r>
      <w:r>
        <w:rPr>
          <w:rFonts w:ascii="Times New Roman" w:hAnsi="Times New Roman"/>
          <w:b w:val="1"/>
          <w:sz w:val="24"/>
        </w:rPr>
        <w:t> </w:t>
      </w:r>
      <w:r>
        <w:rPr>
          <w:rFonts w:ascii="Times New Roman" w:hAnsi="Times New Roman"/>
          <w:b w:val="1"/>
          <w:sz w:val="24"/>
        </w:rPr>
        <w:t>177,60</w:t>
      </w:r>
      <w:r>
        <w:rPr>
          <w:rFonts w:ascii="Times New Roman" w:hAnsi="Times New Roman"/>
          <w:b w:val="1"/>
          <w:sz w:val="24"/>
        </w:rPr>
        <w:t xml:space="preserve"> (</w:t>
      </w:r>
      <w:r>
        <w:rPr>
          <w:rFonts w:ascii="Times New Roman" w:hAnsi="Times New Roman"/>
          <w:b w:val="1"/>
          <w:sz w:val="24"/>
        </w:rPr>
        <w:t xml:space="preserve">Шестьсот двадцать семь </w:t>
      </w:r>
      <w:r>
        <w:rPr>
          <w:rFonts w:ascii="Times New Roman" w:hAnsi="Times New Roman"/>
          <w:b w:val="1"/>
          <w:sz w:val="24"/>
        </w:rPr>
        <w:t xml:space="preserve">тысяч </w:t>
      </w:r>
      <w:r>
        <w:rPr>
          <w:rFonts w:ascii="Times New Roman" w:hAnsi="Times New Roman"/>
          <w:b w:val="1"/>
          <w:sz w:val="24"/>
        </w:rPr>
        <w:t xml:space="preserve">сто семьдесят семь </w:t>
      </w:r>
      <w:r>
        <w:rPr>
          <w:rFonts w:ascii="Times New Roman" w:hAnsi="Times New Roman"/>
          <w:b w:val="1"/>
          <w:sz w:val="24"/>
        </w:rPr>
        <w:t>рубл</w:t>
      </w:r>
      <w:r>
        <w:rPr>
          <w:rFonts w:ascii="Times New Roman" w:hAnsi="Times New Roman"/>
          <w:b w:val="1"/>
          <w:sz w:val="24"/>
        </w:rPr>
        <w:t>ей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z w:val="24"/>
        </w:rPr>
        <w:t xml:space="preserve">0 копеек) с учетом НДС-22%. </w:t>
      </w:r>
    </w:p>
    <w:p w14:paraId="19000000">
      <w:pPr>
        <w:tabs>
          <w:tab w:leader="none" w:pos="15360" w:val="left"/>
        </w:tabs>
        <w:ind w:hanging="142" w:left="284" w:right="481"/>
        <w:jc w:val="both"/>
        <w:rPr>
          <w:b w:val="1"/>
        </w:rPr>
      </w:pPr>
      <w:r>
        <w:rPr>
          <w:b w:val="1"/>
        </w:rPr>
        <w:t>11. Соответствующие коды товаров, работ, услуг</w:t>
      </w:r>
      <w:r>
        <w:t xml:space="preserve"> в соответствии с классификаторами ОКВЭД 2, ОКПД 2: </w:t>
      </w:r>
      <w:r>
        <w:rPr>
          <w:b w:val="1"/>
        </w:rPr>
        <w:t>32.99.11.120</w:t>
      </w:r>
    </w:p>
    <w:p w14:paraId="1A000000">
      <w:pPr>
        <w:tabs>
          <w:tab w:leader="none" w:pos="709" w:val="left"/>
        </w:tabs>
        <w:ind/>
        <w:jc w:val="both"/>
        <w:rPr>
          <w:i w:val="1"/>
        </w:rPr>
      </w:pPr>
    </w:p>
    <w:p w14:paraId="1B000000">
      <w:pPr>
        <w:ind/>
        <w:jc w:val="both"/>
        <w:rPr>
          <w:i w:val="1"/>
        </w:rPr>
      </w:pPr>
      <w:r>
        <w:tab/>
      </w:r>
      <w:r>
        <w:t>12. Требования к качеству, техническим характеристикам товара, работы, услуги, к их безопасности, к функциональным характеристикам (потребительским свойствам) товара, к размерам, упаковке, отгрузке товара, к результатам работы и иные требования, связанные с определением соответствия поставляемого товара, выполняемой работы, оказываемой услуги потребностям заказчика:</w:t>
      </w:r>
      <w:r>
        <w:rPr>
          <w:i w:val="1"/>
        </w:rPr>
        <w:t xml:space="preserve"> в соответствии с техническим заданием и проектом договора. </w:t>
      </w:r>
    </w:p>
    <w:p w14:paraId="1C000000">
      <w:pPr>
        <w:pStyle w:val="Style_6"/>
        <w:ind w:firstLine="708"/>
        <w:jc w:val="both"/>
        <w:rPr>
          <w:i w:val="1"/>
          <w:sz w:val="24"/>
        </w:rPr>
      </w:pPr>
      <w:r>
        <w:rPr>
          <w:sz w:val="24"/>
        </w:rPr>
        <w:t>13. Форма, сроки и порядок оплаты товара, работы, услуги:</w:t>
      </w:r>
      <w:r>
        <w:rPr>
          <w:i w:val="1"/>
          <w:sz w:val="24"/>
        </w:rPr>
        <w:t xml:space="preserve"> в соответствии с проектом договора.</w:t>
      </w:r>
    </w:p>
    <w:p w14:paraId="1D000000">
      <w:pPr>
        <w:pStyle w:val="Style_6"/>
        <w:ind w:firstLine="708"/>
        <w:jc w:val="both"/>
        <w:rPr>
          <w:i w:val="1"/>
          <w:sz w:val="24"/>
        </w:rPr>
      </w:pPr>
      <w:r>
        <w:rPr>
          <w:sz w:val="24"/>
        </w:rPr>
        <w:t>14. Порядок формирования цены договора (с учетом или без учета расходов на перевозку, страхование, уплату таможенных пошлин, налогов и других обязательных платежей):</w:t>
      </w:r>
      <w:r>
        <w:rPr>
          <w:i w:val="1"/>
          <w:sz w:val="24"/>
        </w:rPr>
        <w:t xml:space="preserve"> в соответствии с проектом договора.</w:t>
      </w:r>
    </w:p>
    <w:p w14:paraId="1E000000">
      <w:pPr>
        <w:ind/>
        <w:jc w:val="both"/>
        <w:rPr>
          <w:i w:val="1"/>
        </w:rPr>
      </w:pPr>
      <w:r>
        <w:tab/>
      </w:r>
      <w:r>
        <w:t xml:space="preserve">15. Срок, место и порядок предоставления документации о закупке, размер, порядок и сроки внесения платы, взимаемой заказчиком за предоставление документации, если такая плата установлена: </w:t>
      </w:r>
      <w:r>
        <w:rPr>
          <w:i w:val="1"/>
        </w:rPr>
        <w:t>настоящая документация о закупке размещена в открытом доступе; для данного способа закупки предоставление документации о закупке иным способом не предусмотрено.</w:t>
      </w:r>
    </w:p>
    <w:p w14:paraId="1F000000">
      <w:pPr>
        <w:ind/>
        <w:jc w:val="both"/>
      </w:pPr>
      <w:r>
        <w:tab/>
      </w:r>
      <w:r>
        <w:t xml:space="preserve">16. Требования к содержанию, форме, оформлению и составу заявки на участие в закупке: </w:t>
      </w:r>
      <w:r>
        <w:rPr>
          <w:i w:val="1"/>
        </w:rPr>
        <w:t>не предъявляются.</w:t>
      </w:r>
    </w:p>
    <w:p w14:paraId="20000000">
      <w:pPr>
        <w:pStyle w:val="Style_6"/>
        <w:ind w:firstLine="708"/>
        <w:jc w:val="both"/>
        <w:rPr>
          <w:i w:val="1"/>
          <w:sz w:val="24"/>
        </w:rPr>
      </w:pPr>
      <w:r>
        <w:rPr>
          <w:sz w:val="24"/>
        </w:rPr>
        <w:t xml:space="preserve">17. Порядок, место, дата начала и дата окончания срока подачи заявок на участие в закупке: </w:t>
      </w:r>
      <w:r>
        <w:rPr>
          <w:i w:val="1"/>
          <w:sz w:val="24"/>
        </w:rPr>
        <w:t>для данной закупки не устанавливаются.</w:t>
      </w:r>
    </w:p>
    <w:p w14:paraId="21000000">
      <w:pPr>
        <w:pStyle w:val="Style_6"/>
        <w:ind w:firstLine="708"/>
        <w:jc w:val="both"/>
        <w:rPr>
          <w:sz w:val="24"/>
        </w:rPr>
      </w:pPr>
      <w:r>
        <w:rPr>
          <w:sz w:val="24"/>
        </w:rPr>
        <w:t xml:space="preserve">18. Требования к участникам закупки и перечень документов, представляемых участниками закупки для подтверждения их соответствия установленным требованиям: </w:t>
      </w:r>
    </w:p>
    <w:tbl>
      <w:tblPr>
        <w:tblStyle w:val="Style_7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785"/>
        <w:gridCol w:w="4786"/>
      </w:tblGrid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6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Требования к участникам закупки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6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Перечень документов</w:t>
            </w:r>
          </w:p>
        </w:tc>
      </w:tr>
      <w:tr>
        <w:tc>
          <w:tcPr>
            <w:tcW w:type="dxa" w:w="47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6"/>
              <w:ind w:firstLine="708"/>
              <w:jc w:val="both"/>
              <w:rPr>
                <w:sz w:val="24"/>
              </w:rPr>
            </w:pPr>
            <w:r>
              <w:rPr>
                <w:sz w:val="24"/>
              </w:rPr>
              <w:t>участник закупки должен обладать гражданской правоспособностью в полном объеме для заключения и исполнения договора по результатам закупки, в том числе:</w:t>
            </w:r>
          </w:p>
          <w:p w14:paraId="25000000">
            <w:pPr>
              <w:ind w:firstLine="495" w:right="153"/>
              <w:jc w:val="both"/>
            </w:pPr>
            <w:r>
              <w:t>быть зарегистрированным в качестве юридического лица в установленном в РФ порядке (для российских юридических лиц);</w:t>
            </w:r>
          </w:p>
          <w:p w14:paraId="26000000">
            <w:pPr>
              <w:ind w:firstLine="495" w:right="153"/>
              <w:jc w:val="both"/>
            </w:pPr>
            <w:r>
              <w:t>быть зарегистрированным в качестве индивидуального предпринимателя в установленном в РФ порядке (для российских индивидуальных предпринимателей);</w:t>
            </w:r>
          </w:p>
          <w:p w14:paraId="27000000">
            <w:pPr>
              <w:ind w:firstLine="495" w:right="153"/>
              <w:jc w:val="both"/>
            </w:pPr>
            <w:r>
              <w:t>быть зарегистрированным в качестве субъекта гражданского права в соответствии с законодательством государства по месту нахождения (для иностранных участников);</w:t>
            </w:r>
          </w:p>
          <w:p w14:paraId="28000000">
            <w:pPr>
              <w:ind w:firstLine="495" w:right="153"/>
              <w:jc w:val="both"/>
              <w:rPr>
                <w:i w:val="1"/>
              </w:rPr>
            </w:pPr>
            <w:r>
              <w:rPr>
                <w:i w:val="1"/>
              </w:rPr>
              <w:t xml:space="preserve">если исполнение договора предусмотрено на территории РФ: </w:t>
            </w:r>
          </w:p>
          <w:p w14:paraId="29000000">
            <w:pPr>
              <w:ind w:firstLine="495" w:right="153"/>
              <w:jc w:val="both"/>
            </w:pPr>
            <w:r>
              <w:t>иметь право на ведение деятельности в соответствии с законодательством РФ (для российских участников);</w:t>
            </w:r>
          </w:p>
          <w:p w14:paraId="2A000000">
            <w:pPr>
              <w:ind w:firstLine="495" w:right="153"/>
              <w:jc w:val="both"/>
            </w:pPr>
            <w:r>
              <w:t>иметь право на ведение деятельности в соответствии с законодательством государства по месту нахождения такого участника закупки и в соответствии с законодательством РФ (для иностранных участников);</w:t>
            </w:r>
          </w:p>
          <w:p w14:paraId="2B000000">
            <w:pPr>
              <w:ind w:firstLine="495" w:right="153"/>
              <w:jc w:val="both"/>
              <w:rPr>
                <w:i w:val="1"/>
              </w:rPr>
            </w:pPr>
            <w:r>
              <w:rPr>
                <w:i w:val="1"/>
              </w:rPr>
              <w:t>либо</w:t>
            </w:r>
          </w:p>
          <w:p w14:paraId="2C000000">
            <w:pPr>
              <w:ind w:firstLine="495" w:right="153"/>
              <w:jc w:val="both"/>
              <w:rPr>
                <w:i w:val="1"/>
              </w:rPr>
            </w:pPr>
            <w:r>
              <w:rPr>
                <w:i w:val="1"/>
              </w:rPr>
              <w:t xml:space="preserve">если исполнение договора предусмотрено на территории иностранного государства: </w:t>
            </w:r>
          </w:p>
          <w:p w14:paraId="2D000000">
            <w:pPr>
              <w:ind w:firstLine="495" w:right="153"/>
              <w:jc w:val="both"/>
            </w:pPr>
            <w:r>
              <w:t>иметь право на ведение деятельности в соответствии с законодательством РФ (для российских участников);</w:t>
            </w:r>
          </w:p>
          <w:p w14:paraId="2E000000">
            <w:pPr>
              <w:ind w:firstLine="495" w:right="153"/>
              <w:jc w:val="both"/>
            </w:pPr>
            <w:r>
              <w:t xml:space="preserve">иметь право на ведение деятельности в соответствии с законодательством государства по месту нахождения такого участника закупки (для иностранных </w:t>
            </w:r>
            <w:r>
              <w:t>участников);</w:t>
            </w:r>
          </w:p>
          <w:p w14:paraId="2F000000">
            <w:pPr>
              <w:ind w:firstLine="495" w:right="153"/>
              <w:jc w:val="both"/>
            </w:pPr>
            <w:r>
              <w:t>иметь право на ведение деятельности в соответствии с законодательством государства по месту исполнения договора (для российских и иностранных участников);</w:t>
            </w:r>
          </w:p>
          <w:p w14:paraId="30000000">
            <w:pPr>
              <w:ind w:firstLine="495" w:right="153"/>
              <w:jc w:val="both"/>
            </w:pPr>
            <w:r>
              <w:t>не находиться в процессе ликвидации (для юридического лица), не быть признанным по решению арбитражного суда несостоятельным (банкротом);</w:t>
            </w:r>
          </w:p>
          <w:p w14:paraId="31000000">
            <w:pPr>
              <w:ind w:firstLine="495" w:right="153"/>
              <w:jc w:val="both"/>
            </w:pPr>
            <w:r>
              <w:t>не являться организацией, на имущество которой в части, необходимой для выполнения договора, наложен арест по решению суда, административного органа и (или) деятельность, которой приостановлена;</w:t>
            </w:r>
          </w:p>
          <w:p w14:paraId="32000000">
            <w:pPr>
              <w:ind w:firstLine="495" w:right="153"/>
              <w:jc w:val="both"/>
            </w:pPr>
            <w:r>
              <w:t>соответствовать требованиям, установленным на основании поручений Правительства РФ: должен раскрыть информацию в отношении всей цепочки собственников, включая бенефициаров (в том числе конечных)</w:t>
            </w:r>
            <w:r>
              <w:rPr>
                <w:rStyle w:val="Style_8_ch"/>
              </w:rPr>
              <w:footnoteReference w:id="1"/>
            </w:r>
            <w:r>
              <w:t>;</w:t>
            </w:r>
          </w:p>
          <w:p w14:paraId="33000000">
            <w:pPr>
              <w:ind w:firstLine="495" w:right="153"/>
              <w:jc w:val="both"/>
            </w:pPr>
            <w:r>
              <w:t>не находиться в реестре недобросовестных поставщиков, ведущемся в соответствии с положениями Федерального закона от 18 июля 2011 года № 223-ФЗ «О закупках товаров, работ, услуг отдельными видами юридических лиц».</w:t>
            </w:r>
          </w:p>
        </w:tc>
        <w:tc>
          <w:tcPr>
            <w:tcW w:type="dxa" w:w="4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6"/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предоставление документов, подтверждающих соответствие указанным требованиям, </w:t>
            </w:r>
          </w:p>
          <w:p w14:paraId="35000000">
            <w:pPr>
              <w:pStyle w:val="Style_6"/>
              <w:ind/>
              <w:jc w:val="center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не требуется</w:t>
            </w:r>
          </w:p>
        </w:tc>
      </w:tr>
    </w:tbl>
    <w:p w14:paraId="36000000">
      <w:pPr>
        <w:pStyle w:val="Style_6"/>
        <w:ind w:firstLine="708"/>
        <w:jc w:val="both"/>
        <w:rPr>
          <w:sz w:val="24"/>
        </w:rPr>
      </w:pPr>
      <w:r>
        <w:rPr>
          <w:sz w:val="24"/>
        </w:rPr>
        <w:t xml:space="preserve">19. Формы, порядок, дата начала и дата окончания срока предоставления участникам закупки разъяснений положений документации о закупке: </w:t>
      </w:r>
      <w:r>
        <w:rPr>
          <w:i w:val="1"/>
          <w:sz w:val="24"/>
        </w:rPr>
        <w:t>для данной закупки не предусмотрено.</w:t>
      </w:r>
    </w:p>
    <w:p w14:paraId="37000000">
      <w:pPr>
        <w:tabs>
          <w:tab w:leader="none" w:pos="709" w:val="left"/>
        </w:tabs>
        <w:ind/>
        <w:jc w:val="both"/>
      </w:pPr>
      <w:r>
        <w:tab/>
      </w:r>
      <w:r>
        <w:t xml:space="preserve">20. Место и дата рассмотрения предложений участников закупки и подведения итогов закупки: </w:t>
      </w:r>
      <w:r>
        <w:rPr>
          <w:i w:val="1"/>
        </w:rPr>
        <w:t>для данной закупки не предусмотрено.</w:t>
      </w:r>
    </w:p>
    <w:p w14:paraId="38000000">
      <w:pPr>
        <w:tabs>
          <w:tab w:leader="none" w:pos="709" w:val="left"/>
        </w:tabs>
        <w:ind/>
        <w:jc w:val="both"/>
      </w:pPr>
      <w:r>
        <w:tab/>
      </w:r>
      <w:r>
        <w:t>21. Критерии оценки и сопоставления заявок на участие в закупке:</w:t>
      </w:r>
      <w:r>
        <w:rPr>
          <w:i w:val="1"/>
        </w:rPr>
        <w:t xml:space="preserve"> для данной закупки не предусмотрено</w:t>
      </w:r>
      <w:r>
        <w:t xml:space="preserve">. </w:t>
      </w:r>
    </w:p>
    <w:p w14:paraId="39000000">
      <w:pPr>
        <w:ind/>
        <w:jc w:val="both"/>
        <w:rPr>
          <w:i w:val="1"/>
        </w:rPr>
      </w:pPr>
      <w:r>
        <w:tab/>
      </w:r>
      <w:r>
        <w:t xml:space="preserve">22.  Порядок оценки и сопоставления заявок на участие в закупке: </w:t>
      </w:r>
      <w:r>
        <w:rPr>
          <w:i w:val="1"/>
        </w:rPr>
        <w:t xml:space="preserve">для данной закупки не предусмотрено. </w:t>
      </w:r>
    </w:p>
    <w:p w14:paraId="3A000000">
      <w:pPr>
        <w:ind w:firstLine="709"/>
        <w:jc w:val="both"/>
        <w:rPr>
          <w:i w:val="1"/>
        </w:rPr>
      </w:pPr>
      <w:r>
        <w:t xml:space="preserve">23. Контрагент: </w:t>
      </w:r>
    </w:p>
    <w:p w14:paraId="3B000000">
      <w:pPr>
        <w:pStyle w:val="Style_9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24. Наименование, электронный адрес комиссии, в которую могут быть обжалованы действия (бездействия) заказчика, организатора закупки, закупочной комиссии: </w:t>
      </w:r>
    </w:p>
    <w:p w14:paraId="3C000000">
      <w:pPr>
        <w:pStyle w:val="Style_9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Контролирующая комиссия АО «АЭМ-технологии» </w:t>
      </w:r>
    </w:p>
    <w:p w14:paraId="3D000000">
      <w:pPr>
        <w:pStyle w:val="Style_9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Место нахождения: 196650, Санкт-Петербург, г.Колпино, ул.Финляндская, дом 13, литер ВМ, помещение 469.</w:t>
      </w:r>
    </w:p>
    <w:p w14:paraId="3E000000">
      <w:pPr>
        <w:pStyle w:val="Style_9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Почтовый адрес: 196650, Санкт-Петербург, г.Колпино, ул. Финляндская, дом 13, литер ВМ, помещение 469.</w:t>
      </w:r>
    </w:p>
    <w:p w14:paraId="3F000000">
      <w:pPr>
        <w:pStyle w:val="Style_9"/>
        <w:tabs>
          <w:tab w:leader="none" w:pos="0" w:val="left"/>
        </w:tabs>
        <w:spacing w:after="0" w:line="240" w:lineRule="auto"/>
        <w:ind w:firstLine="709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Контактное лицо: </w:t>
      </w:r>
      <w:r>
        <w:rPr>
          <w:rFonts w:ascii="Times New Roman" w:hAnsi="Times New Roman"/>
          <w:i w:val="1"/>
          <w:sz w:val="24"/>
        </w:rPr>
        <w:t>Ревенков Валерий Станиславович</w:t>
      </w:r>
      <w:bookmarkStart w:id="1" w:name="_GoBack"/>
      <w:bookmarkEnd w:id="1"/>
      <w:r>
        <w:rPr>
          <w:rFonts w:ascii="Times New Roman" w:hAnsi="Times New Roman"/>
          <w:i w:val="1"/>
          <w:sz w:val="24"/>
        </w:rPr>
        <w:t>, тел./факс 8-812-3319331, info@aemtech.ru.</w:t>
      </w:r>
    </w:p>
    <w:p w14:paraId="40000000">
      <w:pPr>
        <w:tabs>
          <w:tab w:leader="none" w:pos="709" w:val="left"/>
        </w:tabs>
        <w:ind w:firstLine="709"/>
        <w:jc w:val="both"/>
      </w:pPr>
      <w:r>
        <w:t>25. Горячая линия для направления сообщений о нарушениях:</w:t>
      </w:r>
    </w:p>
    <w:p w14:paraId="41000000">
      <w:pPr>
        <w:tabs>
          <w:tab w:leader="none" w:pos="709" w:val="left"/>
        </w:tabs>
        <w:ind w:firstLine="709"/>
        <w:jc w:val="both"/>
      </w:pPr>
      <w:r>
        <w:t xml:space="preserve">- электронный почтовый ящик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"mailto:0707@rosatom.ru"</w:instrText>
      </w:r>
      <w:r>
        <w:rPr>
          <w:rStyle w:val="Style_5_ch"/>
        </w:rPr>
        <w:fldChar w:fldCharType="separate"/>
      </w:r>
      <w:r>
        <w:rPr>
          <w:rStyle w:val="Style_5_ch"/>
        </w:rPr>
        <w:t>0707@rosatom.ru</w:t>
      </w:r>
      <w:r>
        <w:rPr>
          <w:rStyle w:val="Style_5_ch"/>
        </w:rPr>
        <w:fldChar w:fldCharType="end"/>
      </w:r>
      <w:r>
        <w:t>;</w:t>
      </w:r>
    </w:p>
    <w:p w14:paraId="42000000">
      <w:pPr>
        <w:tabs>
          <w:tab w:leader="none" w:pos="709" w:val="left"/>
        </w:tabs>
        <w:ind w:firstLine="709"/>
        <w:jc w:val="both"/>
      </w:pPr>
      <w:r>
        <w:t xml:space="preserve">- телефон с автоответчиком для приема устных сообщений: </w:t>
      </w:r>
    </w:p>
    <w:p w14:paraId="43000000">
      <w:pPr>
        <w:tabs>
          <w:tab w:leader="none" w:pos="709" w:val="left"/>
        </w:tabs>
        <w:ind w:firstLine="709"/>
        <w:jc w:val="both"/>
      </w:pPr>
      <w:r>
        <w:t>8(800) 100-07-07 (круглосуточно, звонок бесплатный).</w:t>
      </w:r>
    </w:p>
    <w:p w14:paraId="44000000">
      <w:pPr>
        <w:tabs>
          <w:tab w:leader="none" w:pos="709" w:val="left"/>
        </w:tabs>
        <w:ind w:firstLine="709"/>
        <w:jc w:val="both"/>
        <w:rPr>
          <w:i w:val="1"/>
        </w:rPr>
      </w:pPr>
      <w:r>
        <w:t>26.</w:t>
      </w:r>
      <w:r>
        <w:rPr>
          <w:i w:val="1"/>
        </w:rPr>
        <w:t xml:space="preserve"> </w:t>
      </w:r>
      <w:r>
        <w:t xml:space="preserve">Ограничения на участие в закупке: </w:t>
      </w:r>
      <w:r>
        <w:rPr>
          <w:i w:val="1"/>
        </w:rPr>
        <w:t>для данной закупки ограничение на участие в закупке не предусмотрено.</w:t>
      </w:r>
    </w:p>
    <w:p w14:paraId="45000000">
      <w:pPr>
        <w:tabs>
          <w:tab w:leader="none" w:pos="709" w:val="left"/>
        </w:tabs>
        <w:ind w:firstLine="709"/>
        <w:jc w:val="both"/>
        <w:rPr>
          <w:i w:val="1"/>
        </w:rPr>
      </w:pPr>
      <w:r>
        <w:t xml:space="preserve">27.  Приложения, являющиеся неотъемлемой частью: </w:t>
      </w:r>
    </w:p>
    <w:p w14:paraId="46000000">
      <w:pPr>
        <w:tabs>
          <w:tab w:leader="none" w:pos="709" w:val="left"/>
        </w:tabs>
        <w:ind w:firstLine="709"/>
        <w:jc w:val="both"/>
      </w:pPr>
      <w:r>
        <w:t>Приложение 1: проект договора;</w:t>
      </w:r>
    </w:p>
    <w:p w14:paraId="47000000">
      <w:pPr>
        <w:tabs>
          <w:tab w:leader="none" w:pos="709" w:val="left"/>
        </w:tabs>
        <w:ind w:firstLine="709"/>
        <w:jc w:val="both"/>
      </w:pPr>
      <w:r>
        <w:t>Приложение 2: техническое задание</w:t>
      </w:r>
      <w:r>
        <w:t>;</w:t>
      </w:r>
    </w:p>
    <w:p w14:paraId="48000000">
      <w:pPr>
        <w:tabs>
          <w:tab w:leader="none" w:pos="709" w:val="left"/>
        </w:tabs>
        <w:ind w:firstLine="709"/>
        <w:jc w:val="both"/>
      </w:pPr>
    </w:p>
    <w:p w14:paraId="49000000">
      <w:pPr>
        <w:tabs>
          <w:tab w:leader="none" w:pos="709" w:val="left"/>
        </w:tabs>
        <w:ind w:firstLine="709"/>
        <w:jc w:val="both"/>
      </w:pPr>
    </w:p>
    <w:sectPr>
      <w:headerReference r:id="rId2" w:type="default"/>
      <w:footerReference r:id="rId3" w:type="default"/>
      <w:footerReference r:id="rId1" w:type="first"/>
      <w:pgSz w:h="16838" w:orient="portrait" w:w="11906"/>
      <w:pgMar w:bottom="1134" w:footer="708" w:gutter="0" w:header="568" w:left="1701" w:right="850" w:top="709"/>
      <w:pgNumType w:start="1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3000000">
    <w:pPr>
      <w:pStyle w:val="Style_1"/>
    </w:pP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2"/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7000000">
    <w:pPr>
      <w:pStyle w:val="Style_1"/>
    </w:pP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4A000000">
      <w:pPr>
        <w:pStyle w:val="Style_30"/>
      </w:pPr>
      <w:r>
        <w:rPr>
          <w:vertAlign w:val="superscript"/>
        </w:rPr>
        <w:footnoteRef/>
      </w:r>
    </w:p>
  </w:footnote>
</w:footnotes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ind/>
      <w:jc w:val="right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10" w:type="paragraph">
    <w:name w:val="Гиперссылка2"/>
    <w:link w:val="Style_10_ch"/>
    <w:rPr>
      <w:color w:val="0000FF"/>
      <w:u w:val="single"/>
    </w:rPr>
  </w:style>
  <w:style w:styleId="Style_10_ch" w:type="character">
    <w:name w:val="Гиперссылка2"/>
    <w:link w:val="Style_10"/>
    <w:rPr>
      <w:color w:val="0000FF"/>
      <w:u w:val="single"/>
    </w:rPr>
  </w:style>
  <w:style w:styleId="Style_11" w:type="paragraph">
    <w:name w:val="toc 2"/>
    <w:next w:val="Style_2"/>
    <w:link w:val="Style_11_ch"/>
    <w:uiPriority w:val="39"/>
    <w:pPr>
      <w:ind w:left="200"/>
    </w:pPr>
  </w:style>
  <w:style w:styleId="Style_11_ch" w:type="character">
    <w:name w:val="toc 2"/>
    <w:link w:val="Style_11"/>
  </w:style>
  <w:style w:styleId="Style_12" w:type="paragraph">
    <w:name w:val="toc 4"/>
    <w:next w:val="Style_2"/>
    <w:link w:val="Style_12_ch"/>
    <w:uiPriority w:val="39"/>
    <w:pPr>
      <w:ind w:left="600"/>
    </w:pPr>
  </w:style>
  <w:style w:styleId="Style_12_ch" w:type="character">
    <w:name w:val="toc 4"/>
    <w:link w:val="Style_12"/>
  </w:style>
  <w:style w:styleId="Style_13" w:type="paragraph">
    <w:name w:val="Обычный1"/>
    <w:link w:val="Style_13_ch"/>
    <w:rPr>
      <w:sz w:val="24"/>
    </w:rPr>
  </w:style>
  <w:style w:styleId="Style_13_ch" w:type="character">
    <w:name w:val="Обычный1"/>
    <w:link w:val="Style_13"/>
    <w:rPr>
      <w:sz w:val="24"/>
    </w:rPr>
  </w:style>
  <w:style w:styleId="Style_14" w:type="paragraph">
    <w:name w:val="toc 6"/>
    <w:next w:val="Style_2"/>
    <w:link w:val="Style_14_ch"/>
    <w:uiPriority w:val="39"/>
    <w:pPr>
      <w:ind w:left="1000"/>
    </w:pPr>
  </w:style>
  <w:style w:styleId="Style_14_ch" w:type="character">
    <w:name w:val="toc 6"/>
    <w:link w:val="Style_14"/>
  </w:style>
  <w:style w:styleId="Style_15" w:type="paragraph">
    <w:name w:val="toc 7"/>
    <w:next w:val="Style_2"/>
    <w:link w:val="Style_15_ch"/>
    <w:uiPriority w:val="39"/>
    <w:pPr>
      <w:ind w:left="1200"/>
    </w:pPr>
  </w:style>
  <w:style w:styleId="Style_15_ch" w:type="character">
    <w:name w:val="toc 7"/>
    <w:link w:val="Style_15"/>
  </w:style>
  <w:style w:styleId="Style_16" w:type="paragraph">
    <w:name w:val="Гиперссылка1"/>
    <w:link w:val="Style_16_ch"/>
    <w:rPr>
      <w:color w:val="0000FF"/>
      <w:u w:val="single"/>
    </w:rPr>
  </w:style>
  <w:style w:styleId="Style_16_ch" w:type="character">
    <w:name w:val="Гиперссылка1"/>
    <w:link w:val="Style_16"/>
    <w:rPr>
      <w:color w:val="0000FF"/>
      <w:u w:val="single"/>
    </w:rPr>
  </w:style>
  <w:style w:styleId="Style_17" w:type="paragraph">
    <w:name w:val="Знак концевой сноски1"/>
    <w:link w:val="Style_17_ch"/>
    <w:rPr>
      <w:vertAlign w:val="superscript"/>
    </w:rPr>
  </w:style>
  <w:style w:styleId="Style_17_ch" w:type="character">
    <w:name w:val="Знак концевой сноски1"/>
    <w:link w:val="Style_17"/>
    <w:rPr>
      <w:vertAlign w:val="superscript"/>
    </w:rPr>
  </w:style>
  <w:style w:styleId="Style_8" w:type="paragraph">
    <w:name w:val="Знак сноски1"/>
    <w:link w:val="Style_8_ch"/>
    <w:rPr>
      <w:vertAlign w:val="superscript"/>
    </w:rPr>
  </w:style>
  <w:style w:styleId="Style_8_ch" w:type="character">
    <w:name w:val="Знак сноски1"/>
    <w:link w:val="Style_8"/>
    <w:rPr>
      <w:vertAlign w:val="superscript"/>
    </w:rPr>
  </w:style>
  <w:style w:styleId="Style_18" w:type="paragraph">
    <w:name w:val="Balloon Text"/>
    <w:basedOn w:val="Style_2"/>
    <w:link w:val="Style_18_ch"/>
    <w:rPr>
      <w:rFonts w:ascii="Tahoma" w:hAnsi="Tahoma"/>
      <w:sz w:val="16"/>
    </w:rPr>
  </w:style>
  <w:style w:styleId="Style_18_ch" w:type="character">
    <w:name w:val="Balloon Text"/>
    <w:basedOn w:val="Style_2_ch"/>
    <w:link w:val="Style_18"/>
    <w:rPr>
      <w:rFonts w:ascii="Tahoma" w:hAnsi="Tahoma"/>
      <w:sz w:val="16"/>
    </w:rPr>
  </w:style>
  <w:style w:styleId="Style_1" w:type="paragraph">
    <w:name w:val="footer"/>
    <w:basedOn w:val="Style_2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2_ch"/>
    <w:link w:val="Style_1"/>
  </w:style>
  <w:style w:styleId="Style_19" w:type="paragraph">
    <w:name w:val="Endnote"/>
    <w:basedOn w:val="Style_2"/>
    <w:link w:val="Style_19_ch"/>
    <w:rPr>
      <w:sz w:val="20"/>
    </w:rPr>
  </w:style>
  <w:style w:styleId="Style_19_ch" w:type="character">
    <w:name w:val="Endnote"/>
    <w:basedOn w:val="Style_2_ch"/>
    <w:link w:val="Style_19"/>
    <w:rPr>
      <w:sz w:val="20"/>
    </w:rPr>
  </w:style>
  <w:style w:styleId="Style_20" w:type="paragraph">
    <w:name w:val="heading 3"/>
    <w:next w:val="Style_2"/>
    <w:link w:val="Style_20_ch"/>
    <w:uiPriority w:val="9"/>
    <w:qFormat/>
    <w:pPr>
      <w:ind/>
      <w:outlineLvl w:val="2"/>
    </w:pPr>
    <w:rPr>
      <w:rFonts w:ascii="XO Thames" w:hAnsi="XO Thames"/>
      <w:b w:val="1"/>
      <w:i w:val="1"/>
    </w:rPr>
  </w:style>
  <w:style w:styleId="Style_20_ch" w:type="character">
    <w:name w:val="heading 3"/>
    <w:link w:val="Style_20"/>
    <w:rPr>
      <w:rFonts w:ascii="XO Thames" w:hAnsi="XO Thames"/>
      <w:b w:val="1"/>
      <w:i w:val="1"/>
    </w:rPr>
  </w:style>
  <w:style w:styleId="Style_21" w:type="paragraph">
    <w:name w:val="Знак примечания1"/>
    <w:link w:val="Style_21_ch"/>
    <w:rPr>
      <w:sz w:val="16"/>
    </w:rPr>
  </w:style>
  <w:style w:styleId="Style_21_ch" w:type="character">
    <w:name w:val="Знак примечания1"/>
    <w:link w:val="Style_21"/>
    <w:rPr>
      <w:sz w:val="16"/>
    </w:rPr>
  </w:style>
  <w:style w:styleId="Style_22" w:type="paragraph">
    <w:name w:val="annotation subject"/>
    <w:basedOn w:val="Style_23"/>
    <w:next w:val="Style_23"/>
    <w:link w:val="Style_22_ch"/>
    <w:rPr>
      <w:b w:val="1"/>
    </w:rPr>
  </w:style>
  <w:style w:styleId="Style_22_ch" w:type="character">
    <w:name w:val="annotation subject"/>
    <w:basedOn w:val="Style_23_ch"/>
    <w:link w:val="Style_22"/>
    <w:rPr>
      <w:b w:val="1"/>
    </w:rPr>
  </w:style>
  <w:style w:styleId="Style_3" w:type="paragraph">
    <w:name w:val="header"/>
    <w:basedOn w:val="Style_2"/>
    <w:link w:val="Style_3_ch"/>
    <w:pPr>
      <w:tabs>
        <w:tab w:leader="none" w:pos="4677" w:val="center"/>
        <w:tab w:leader="none" w:pos="9355" w:val="right"/>
      </w:tabs>
      <w:ind/>
    </w:pPr>
  </w:style>
  <w:style w:styleId="Style_3_ch" w:type="character">
    <w:name w:val="header"/>
    <w:basedOn w:val="Style_2_ch"/>
    <w:link w:val="Style_3"/>
  </w:style>
  <w:style w:styleId="Style_23" w:type="paragraph">
    <w:name w:val="annotation text"/>
    <w:basedOn w:val="Style_2"/>
    <w:link w:val="Style_23_ch"/>
    <w:rPr>
      <w:sz w:val="20"/>
    </w:rPr>
  </w:style>
  <w:style w:styleId="Style_23_ch" w:type="character">
    <w:name w:val="annotation text"/>
    <w:basedOn w:val="Style_2_ch"/>
    <w:link w:val="Style_23"/>
    <w:rPr>
      <w:sz w:val="20"/>
    </w:rPr>
  </w:style>
  <w:style w:styleId="Style_24" w:type="paragraph">
    <w:name w:val="Обычный1"/>
    <w:link w:val="Style_24_ch"/>
    <w:rPr>
      <w:sz w:val="24"/>
    </w:rPr>
  </w:style>
  <w:style w:styleId="Style_24_ch" w:type="character">
    <w:name w:val="Обычный1"/>
    <w:link w:val="Style_24"/>
    <w:rPr>
      <w:sz w:val="24"/>
    </w:rPr>
  </w:style>
  <w:style w:styleId="Style_25" w:type="paragraph">
    <w:name w:val="toc 3"/>
    <w:next w:val="Style_2"/>
    <w:link w:val="Style_25_ch"/>
    <w:uiPriority w:val="39"/>
    <w:pPr>
      <w:ind w:left="400"/>
    </w:pPr>
  </w:style>
  <w:style w:styleId="Style_25_ch" w:type="character">
    <w:name w:val="toc 3"/>
    <w:link w:val="Style_25"/>
  </w:style>
  <w:style w:styleId="Style_26" w:type="paragraph">
    <w:name w:val="heading 5"/>
    <w:next w:val="Style_2"/>
    <w:link w:val="Style_26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6" w:type="paragraph">
    <w:name w:val="ConsPlusNormal"/>
    <w:link w:val="Style_6_ch"/>
    <w:rPr>
      <w:sz w:val="28"/>
    </w:rPr>
  </w:style>
  <w:style w:styleId="Style_6_ch" w:type="character">
    <w:name w:val="ConsPlusNormal"/>
    <w:link w:val="Style_6"/>
    <w:rPr>
      <w:sz w:val="28"/>
    </w:rPr>
  </w:style>
  <w:style w:styleId="Style_27" w:type="paragraph">
    <w:name w:val="heading 1"/>
    <w:next w:val="Style_2"/>
    <w:link w:val="Style_27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7_ch" w:type="character">
    <w:name w:val="heading 1"/>
    <w:link w:val="Style_27"/>
    <w:rPr>
      <w:rFonts w:ascii="XO Thames" w:hAnsi="XO Thames"/>
      <w:b w:val="1"/>
      <w:sz w:val="32"/>
    </w:rPr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basedOn w:val="Style_2"/>
    <w:link w:val="Style_30_ch"/>
    <w:rPr>
      <w:sz w:val="20"/>
    </w:rPr>
  </w:style>
  <w:style w:styleId="Style_30_ch" w:type="character">
    <w:name w:val="Footnote"/>
    <w:basedOn w:val="Style_2_ch"/>
    <w:link w:val="Style_30"/>
    <w:rPr>
      <w:sz w:val="20"/>
    </w:rPr>
  </w:style>
  <w:style w:styleId="Style_31" w:type="paragraph">
    <w:name w:val="toc 1"/>
    <w:next w:val="Style_2"/>
    <w:link w:val="Style_31_ch"/>
    <w:uiPriority w:val="39"/>
    <w:rPr>
      <w:rFonts w:ascii="XO Thames" w:hAnsi="XO Thames"/>
      <w:b w:val="1"/>
    </w:rPr>
  </w:style>
  <w:style w:styleId="Style_31_ch" w:type="character">
    <w:name w:val="toc 1"/>
    <w:link w:val="Style_31"/>
    <w:rPr>
      <w:rFonts w:ascii="XO Thames" w:hAnsi="XO Thames"/>
      <w:b w:val="1"/>
    </w:rPr>
  </w:style>
  <w:style w:styleId="Style_32" w:type="paragraph">
    <w:name w:val="Основной шрифт абзаца1"/>
    <w:link w:val="Style_32_ch"/>
  </w:style>
  <w:style w:styleId="Style_32_ch" w:type="character">
    <w:name w:val="Основной шрифт абзаца1"/>
    <w:link w:val="Style_32"/>
  </w:style>
  <w:style w:styleId="Style_33" w:type="paragraph">
    <w:name w:val="Header and Footer"/>
    <w:link w:val="Style_33_ch"/>
    <w:pPr>
      <w:spacing w:line="360" w:lineRule="auto"/>
      <w:ind/>
    </w:pPr>
    <w:rPr>
      <w:rFonts w:ascii="XO Thames" w:hAnsi="XO Thames"/>
    </w:rPr>
  </w:style>
  <w:style w:styleId="Style_33_ch" w:type="character">
    <w:name w:val="Header and Footer"/>
    <w:link w:val="Style_33"/>
    <w:rPr>
      <w:rFonts w:ascii="XO Thames" w:hAnsi="XO Thames"/>
    </w:rPr>
  </w:style>
  <w:style w:styleId="Style_5" w:type="paragraph">
    <w:name w:val="Гиперссылка1"/>
    <w:link w:val="Style_5_ch"/>
    <w:rPr>
      <w:color w:val="0563C1"/>
      <w:u w:val="single"/>
    </w:rPr>
  </w:style>
  <w:style w:styleId="Style_5_ch" w:type="character">
    <w:name w:val="Гиперссылка1"/>
    <w:link w:val="Style_5"/>
    <w:rPr>
      <w:color w:val="0563C1"/>
      <w:u w:val="single"/>
    </w:rPr>
  </w:style>
  <w:style w:styleId="Style_34" w:type="paragraph">
    <w:name w:val="toc 10"/>
    <w:next w:val="Style_2"/>
    <w:link w:val="Style_34_ch"/>
    <w:pPr>
      <w:ind w:left="1800"/>
    </w:pPr>
  </w:style>
  <w:style w:styleId="Style_34_ch" w:type="character">
    <w:name w:val="toc 10"/>
    <w:link w:val="Style_34"/>
  </w:style>
  <w:style w:styleId="Style_35" w:type="paragraph">
    <w:name w:val="toc 9"/>
    <w:next w:val="Style_2"/>
    <w:link w:val="Style_35_ch"/>
    <w:uiPriority w:val="39"/>
    <w:pPr>
      <w:ind w:left="1600"/>
    </w:pPr>
  </w:style>
  <w:style w:styleId="Style_35_ch" w:type="character">
    <w:name w:val="toc 9"/>
    <w:link w:val="Style_35"/>
  </w:style>
  <w:style w:styleId="Style_36" w:type="paragraph">
    <w:name w:val="Обычный1"/>
    <w:link w:val="Style_36_ch"/>
    <w:rPr>
      <w:sz w:val="24"/>
    </w:rPr>
  </w:style>
  <w:style w:styleId="Style_36_ch" w:type="character">
    <w:name w:val="Обычный1"/>
    <w:link w:val="Style_36"/>
    <w:rPr>
      <w:sz w:val="24"/>
    </w:rPr>
  </w:style>
  <w:style w:styleId="Style_37" w:type="paragraph">
    <w:name w:val="toc 8"/>
    <w:next w:val="Style_2"/>
    <w:link w:val="Style_37_ch"/>
    <w:uiPriority w:val="39"/>
    <w:pPr>
      <w:ind w:left="1400"/>
    </w:pPr>
  </w:style>
  <w:style w:styleId="Style_37_ch" w:type="character">
    <w:name w:val="toc 8"/>
    <w:link w:val="Style_37"/>
  </w:style>
  <w:style w:styleId="Style_38" w:type="paragraph">
    <w:name w:val="Основной шрифт абзаца1"/>
    <w:link w:val="Style_38_ch"/>
  </w:style>
  <w:style w:styleId="Style_38_ch" w:type="character">
    <w:name w:val="Основной шрифт абзаца1"/>
    <w:link w:val="Style_38"/>
  </w:style>
  <w:style w:styleId="Style_39" w:type="paragraph">
    <w:name w:val="Основной шрифт абзаца2"/>
    <w:link w:val="Style_39_ch"/>
  </w:style>
  <w:style w:styleId="Style_39_ch" w:type="character">
    <w:name w:val="Основной шрифт абзаца2"/>
    <w:link w:val="Style_39"/>
  </w:style>
  <w:style w:styleId="Style_40" w:type="paragraph">
    <w:name w:val="toc 5"/>
    <w:next w:val="Style_2"/>
    <w:link w:val="Style_40_ch"/>
    <w:uiPriority w:val="39"/>
    <w:pPr>
      <w:ind w:left="800"/>
    </w:pPr>
  </w:style>
  <w:style w:styleId="Style_40_ch" w:type="character">
    <w:name w:val="toc 5"/>
    <w:link w:val="Style_40"/>
  </w:style>
  <w:style w:styleId="Style_41" w:type="paragraph">
    <w:name w:val="Subtitle"/>
    <w:next w:val="Style_2"/>
    <w:link w:val="Style_41_ch"/>
    <w:uiPriority w:val="11"/>
    <w:qFormat/>
    <w:rPr>
      <w:rFonts w:ascii="XO Thames" w:hAnsi="XO Thames"/>
      <w:i w:val="1"/>
      <w:color w:val="616161"/>
      <w:sz w:val="24"/>
    </w:rPr>
  </w:style>
  <w:style w:styleId="Style_41_ch" w:type="character">
    <w:name w:val="Subtitle"/>
    <w:link w:val="Style_41"/>
    <w:rPr>
      <w:rFonts w:ascii="XO Thames" w:hAnsi="XO Thames"/>
      <w:i w:val="1"/>
      <w:color w:val="616161"/>
      <w:sz w:val="24"/>
    </w:rPr>
  </w:style>
  <w:style w:styleId="Style_42" w:type="paragraph">
    <w:name w:val="Title"/>
    <w:next w:val="Style_2"/>
    <w:link w:val="Style_42_ch"/>
    <w:uiPriority w:val="10"/>
    <w:qFormat/>
    <w:rPr>
      <w:rFonts w:ascii="XO Thames" w:hAnsi="XO Thames"/>
      <w:b w:val="1"/>
      <w:sz w:val="52"/>
    </w:rPr>
  </w:style>
  <w:style w:styleId="Style_42_ch" w:type="character">
    <w:name w:val="Title"/>
    <w:link w:val="Style_42"/>
    <w:rPr>
      <w:rFonts w:ascii="XO Thames" w:hAnsi="XO Thames"/>
      <w:b w:val="1"/>
      <w:sz w:val="52"/>
    </w:rPr>
  </w:style>
  <w:style w:styleId="Style_43" w:type="paragraph">
    <w:name w:val="heading 4"/>
    <w:next w:val="Style_2"/>
    <w:link w:val="Style_4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43_ch" w:type="character">
    <w:name w:val="heading 4"/>
    <w:link w:val="Style_43"/>
    <w:rPr>
      <w:rFonts w:ascii="XO Thames" w:hAnsi="XO Thames"/>
      <w:b w:val="1"/>
      <w:color w:val="595959"/>
      <w:sz w:val="26"/>
    </w:rPr>
  </w:style>
  <w:style w:styleId="Style_44" w:type="paragraph">
    <w:link w:val="Style_44_ch"/>
    <w:semiHidden w:val="1"/>
    <w:unhideWhenUsed w:val="1"/>
    <w:rPr>
      <w:sz w:val="24"/>
    </w:rPr>
  </w:style>
  <w:style w:styleId="Style_44_ch" w:type="character">
    <w:link w:val="Style_44"/>
    <w:semiHidden w:val="1"/>
    <w:unhideWhenUsed w:val="1"/>
    <w:rPr>
      <w:sz w:val="24"/>
    </w:rPr>
  </w:style>
  <w:style w:styleId="Style_4" w:type="paragraph">
    <w:name w:val="Normal (Web)"/>
    <w:basedOn w:val="Style_2"/>
    <w:link w:val="Style_4_ch"/>
    <w:pPr>
      <w:spacing w:afterAutospacing="on" w:beforeAutospacing="on"/>
      <w:ind/>
    </w:pPr>
  </w:style>
  <w:style w:styleId="Style_4_ch" w:type="character">
    <w:name w:val="Normal (Web)"/>
    <w:basedOn w:val="Style_2_ch"/>
    <w:link w:val="Style_4"/>
  </w:style>
  <w:style w:styleId="Style_45" w:type="paragraph">
    <w:name w:val="heading 2"/>
    <w:next w:val="Style_2"/>
    <w:link w:val="Style_4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45_ch" w:type="character">
    <w:name w:val="heading 2"/>
    <w:link w:val="Style_45"/>
    <w:rPr>
      <w:rFonts w:ascii="XO Thames" w:hAnsi="XO Thames"/>
      <w:b w:val="1"/>
      <w:color w:val="00A0FF"/>
      <w:sz w:val="26"/>
    </w:rPr>
  </w:style>
  <w:style w:styleId="Style_9" w:type="paragraph">
    <w:name w:val="List Paragraph"/>
    <w:basedOn w:val="Style_2"/>
    <w:link w:val="Style_9_ch"/>
    <w:pPr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9_ch" w:type="character">
    <w:name w:val="List Paragraph"/>
    <w:basedOn w:val="Style_2_ch"/>
    <w:link w:val="Style_9"/>
    <w:rPr>
      <w:rFonts w:ascii="Calibri" w:hAnsi="Calibri"/>
      <w:sz w:val="22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Table Grid"/>
    <w:basedOn w:val="Style_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10" Target="footnotes.xml" Type="http://schemas.openxmlformats.org/officeDocument/2006/relationships/footnotes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11" Target="endnotes.xml" Type="http://schemas.openxmlformats.org/officeDocument/2006/relationships/endnotes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2026-08-04T07:09:47Z</dcterms:modified>
</cp:coreProperties>
</file>