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ПОРЯДОК ПРОВЕДЕНИЯ ЗАПРОСА КОТИРОВОК В ЭЛЕКТРОННОЙ ФОРМЕ,</w:t>
      </w:r>
      <w:r>
        <w:rPr>
          <w:b w:val="1"/>
          <w:i w:val="1"/>
        </w:rPr>
        <w:t xml:space="preserve"> </w:t>
      </w:r>
      <w:r>
        <w:rPr>
          <w:b w:val="1"/>
        </w:rPr>
        <w:t>УЧАСТНИКАМИ КОТОРЫХ МОГУТ БЫТЬ ТОЛЬКО СУБЪЕКТЫ МАЛОГО И СРЕДНЕГО ПРЕДПРИНИМАТЕЛЬСТВА</w:t>
      </w:r>
      <w:bookmarkStart w:id="1" w:name="_GoBack"/>
      <w:bookmarkEnd w:id="1"/>
      <w:r>
        <w:rPr>
          <w:b w:val="1"/>
        </w:rPr>
        <w:t>.</w:t>
      </w:r>
    </w:p>
    <w:p w14:paraId="02000000">
      <w:pPr>
        <w:ind/>
        <w:jc w:val="center"/>
        <w:rPr>
          <w:sz w:val="28"/>
        </w:rPr>
      </w:pPr>
    </w:p>
    <w:tbl>
      <w:tblPr>
        <w:tblStyle w:val="Style_1"/>
        <w:tblW w:type="auto" w:w="0"/>
        <w:tblInd w:type="dxa" w:w="-35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2"/>
          <w:right w:type="dxa" w:w="72"/>
        </w:tblCellMar>
      </w:tblPr>
      <w:tblGrid>
        <w:gridCol w:w="568"/>
        <w:gridCol w:w="2268"/>
        <w:gridCol w:w="12616"/>
      </w:tblGrid>
      <w:tr>
        <w:trPr>
          <w:trHeight w:hRule="atLeast" w:val="440"/>
          <w:tblHeader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  <w:vAlign w:val="center"/>
          </w:tcPr>
          <w:p w14:paraId="03000000">
            <w:pPr>
              <w:ind/>
              <w:jc w:val="center"/>
            </w:pPr>
            <w:r>
              <w:t>№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  <w:vAlign w:val="center"/>
          </w:tcPr>
          <w:p w14:paraId="04000000">
            <w:pPr>
              <w:ind/>
              <w:jc w:val="center"/>
            </w:pPr>
            <w:r>
              <w:t>Наименование раздела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  <w:vAlign w:val="center"/>
          </w:tcPr>
          <w:p w14:paraId="05000000">
            <w:pPr>
              <w:ind w:right="153"/>
              <w:jc w:val="center"/>
            </w:pPr>
            <w:r>
              <w:t>Содержание</w:t>
            </w:r>
          </w:p>
        </w:tc>
      </w:tr>
      <w:tr>
        <w:trPr>
          <w:trHeight w:hRule="atLeast" w:val="18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06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7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07000000">
            <w:pPr>
              <w:ind w:right="153"/>
            </w:pPr>
            <w:r>
              <w:t>Общие положения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08000000">
            <w:pPr>
              <w:numPr>
                <w:ilvl w:val="0"/>
                <w:numId w:val="2"/>
              </w:numPr>
              <w:tabs>
                <w:tab w:leader="none" w:pos="1132" w:val="left"/>
              </w:tabs>
              <w:ind w:firstLine="637" w:left="0" w:right="153"/>
              <w:jc w:val="both"/>
            </w:pPr>
            <w:r>
              <w:t>Принять участие в запросе котировок</w:t>
            </w:r>
            <w:r>
              <w:t xml:space="preserve"> могут только субъекты малого и среднего предпринимательства, информация о которых содержится в едином реестре субъектов малого и среднего предпринимательства.</w:t>
            </w:r>
          </w:p>
          <w:p w14:paraId="09000000">
            <w:pPr>
              <w:numPr>
                <w:ilvl w:val="0"/>
                <w:numId w:val="2"/>
              </w:numPr>
              <w:tabs>
                <w:tab w:leader="none" w:pos="1132" w:val="left"/>
              </w:tabs>
              <w:ind w:firstLine="626" w:left="0" w:right="153"/>
              <w:jc w:val="both"/>
            </w:pPr>
            <w:r>
              <w:t>Информация и документы по данному запросу котировок публикуются на официальном сайте и ЭТП. Офиц</w:t>
            </w:r>
            <w:r>
              <w:t>иальным источником информации о ходе и результатах запроса котировок (официальной публикацией) является официальный сайт, указанный в извещении о проведении запроса котировок.</w:t>
            </w:r>
          </w:p>
          <w:p w14:paraId="0A000000">
            <w:pPr>
              <w:numPr>
                <w:ilvl w:val="0"/>
                <w:numId w:val="2"/>
              </w:numPr>
              <w:tabs>
                <w:tab w:leader="none" w:pos="1132" w:val="left"/>
              </w:tabs>
              <w:ind w:firstLine="626" w:left="0" w:right="153"/>
              <w:jc w:val="both"/>
            </w:pPr>
            <w:r>
              <w:t>С даты официальной публикации извещения о проведении запроса котировок (закупочн</w:t>
            </w:r>
            <w:r>
              <w:t>ой документации) (далее – закупочная документация, документация) на официальном сайте закупочная документация находится в открытом доступе, на ЭТП предоставляется согласно правилам данной ЭТП.</w:t>
            </w:r>
          </w:p>
          <w:p w14:paraId="0B000000">
            <w:pPr>
              <w:numPr>
                <w:ilvl w:val="0"/>
                <w:numId w:val="2"/>
              </w:numPr>
              <w:tabs>
                <w:tab w:leader="none" w:pos="1132" w:val="left"/>
              </w:tabs>
              <w:ind w:firstLine="626" w:left="0" w:right="153"/>
              <w:jc w:val="both"/>
            </w:pPr>
            <w:r>
              <w:t>Участники запроса котировок самостоятельно должны отслеживать о</w:t>
            </w:r>
            <w:r>
              <w:t>публикованные разъяснения и изменения извещения о проведении запроса котировок (закупочной документации), информацию о принятых в ходе запроса котировок решениях закупочной комиссии (далее по Порядку – комиссия) и организатора запроса котировок (далее по П</w:t>
            </w:r>
            <w:r>
              <w:t>орядку – организатор).</w:t>
            </w:r>
          </w:p>
          <w:p w14:paraId="0C000000">
            <w:pPr>
              <w:pStyle w:val="Style_2"/>
              <w:numPr>
                <w:ilvl w:val="0"/>
                <w:numId w:val="2"/>
              </w:numPr>
              <w:tabs>
                <w:tab w:leader="none" w:pos="1132" w:val="left"/>
              </w:tabs>
              <w:ind w:firstLine="626" w:left="0" w:right="153"/>
            </w:pPr>
            <w:r>
              <w:t>Протоколы, составляемые в ходе запроса котировок, размещаются на официальном сайте и ЭТП не позднее чем через 3 (три) дня со дня подписания таких протоколов, но в любом случае срок оформления, подписания и размещения таких протоколов</w:t>
            </w:r>
            <w:r>
              <w:t xml:space="preserve"> должен составлять не более 3 (трех) рабочих дней после соответствующего заседания комиссии, если иное не предусмотрено настоящим Порядком. Организатором закупки протоколы размещаются на ЭТП и официальном сайте по закупкам атомной отрасли. На официальном г</w:t>
            </w:r>
            <w:r>
              <w:t>осударственном сайте протоколы размещаются оператором ЭТП.</w:t>
            </w:r>
          </w:p>
          <w:p w14:paraId="0D000000">
            <w:pPr>
              <w:numPr>
                <w:ilvl w:val="0"/>
                <w:numId w:val="2"/>
              </w:numPr>
              <w:tabs>
                <w:tab w:leader="none" w:pos="1132" w:val="left"/>
              </w:tabs>
              <w:ind w:firstLine="626" w:left="0" w:right="153"/>
              <w:jc w:val="both"/>
            </w:pPr>
            <w:r>
              <w:t xml:space="preserve">Во всем, что не урегулировано извещением о проведении запроса котировок и документацией, стороны руководствуются положениями Стандарта, Гражданского кодекса Российской </w:t>
            </w:r>
            <w:r>
              <w:t>Федерации  и</w:t>
            </w:r>
            <w:r>
              <w:t xml:space="preserve"> иных федеральных</w:t>
            </w:r>
            <w:r>
              <w:t xml:space="preserve"> законов.</w:t>
            </w:r>
          </w:p>
        </w:tc>
      </w:tr>
      <w:tr>
        <w:trPr>
          <w:trHeight w:hRule="atLeast" w:val="290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0E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7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0F000000">
            <w:pPr>
              <w:ind w:right="153"/>
            </w:pPr>
            <w:r>
              <w:t>Разъяснение положений закупочной документации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0000000">
            <w:pPr>
              <w:numPr>
                <w:ilvl w:val="1"/>
                <w:numId w:val="3"/>
              </w:numPr>
              <w:tabs>
                <w:tab w:leader="none" w:pos="1132" w:val="left"/>
              </w:tabs>
              <w:ind w:firstLine="567" w:left="-2" w:right="153"/>
              <w:jc w:val="both"/>
            </w:pPr>
            <w:bookmarkStart w:id="2" w:name="_Ref517104550"/>
            <w:r>
              <w:t>Любой участник закупки вправе направить организатору запрос о даче разъяснений положений документации через ЭТП в срок, указанный в извещении о проведении закупки.</w:t>
            </w:r>
            <w:bookmarkEnd w:id="2"/>
            <w:r>
              <w:t xml:space="preserve"> </w:t>
            </w:r>
          </w:p>
          <w:p w14:paraId="11000000">
            <w:pPr>
              <w:numPr>
                <w:ilvl w:val="1"/>
                <w:numId w:val="3"/>
              </w:numPr>
              <w:tabs>
                <w:tab w:leader="none" w:pos="1132" w:val="left"/>
              </w:tabs>
              <w:ind w:firstLine="567" w:left="-2" w:right="153"/>
              <w:jc w:val="both"/>
            </w:pPr>
            <w:r>
              <w:t xml:space="preserve">При поступлении запроса не </w:t>
            </w:r>
            <w:r>
              <w:t>позднее чем за 3 (три) рабочих дня до даты окончания срока подачи заявок на участие в закупке, организатор размещает на официальном сайте и на ЭТП соответствующий ответ с указанием предмета запроса, но без указания участника закупки, от которого поступил д</w:t>
            </w:r>
            <w:r>
              <w:t>анный запрос в течение 3 (трех) рабочих дней с даты поступления такого запроса.</w:t>
            </w:r>
          </w:p>
          <w:p w14:paraId="12000000">
            <w:pPr>
              <w:numPr>
                <w:ilvl w:val="1"/>
                <w:numId w:val="3"/>
              </w:numPr>
              <w:tabs>
                <w:tab w:leader="none" w:pos="1132" w:val="left"/>
              </w:tabs>
              <w:ind w:firstLine="567" w:left="-2" w:right="153"/>
              <w:jc w:val="both"/>
            </w:pPr>
            <w:r>
              <w:t>При поступлении запроса позже сроков, указанных в извещении о проведении закупки, либо при нарушении условий подачи запросов согласно пункту 2.1, организатор вправе не отвечать</w:t>
            </w:r>
            <w:r>
              <w:t xml:space="preserve"> на данный запрос.</w:t>
            </w:r>
          </w:p>
          <w:p w14:paraId="13000000">
            <w:pPr>
              <w:numPr>
                <w:ilvl w:val="1"/>
                <w:numId w:val="3"/>
              </w:numPr>
              <w:tabs>
                <w:tab w:leader="none" w:pos="1132" w:val="left"/>
              </w:tabs>
              <w:ind w:firstLine="567" w:left="-2" w:right="153"/>
              <w:jc w:val="both"/>
            </w:pPr>
            <w:r>
              <w:t xml:space="preserve">Разъяснения положений закупочной документации не должны изменять </w:t>
            </w:r>
            <w:r>
              <w:rPr>
                <w:color w:themeColor="text1" w:val="000000"/>
              </w:rPr>
              <w:t>условия такой документации, в том числе предмет закупки и существенные условия проекта договора</w:t>
            </w:r>
            <w:r>
              <w:t>.</w:t>
            </w:r>
          </w:p>
        </w:tc>
      </w:tr>
      <w:tr>
        <w:trPr>
          <w:trHeight w:hRule="atLeast" w:val="24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4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5000000">
            <w:pPr>
              <w:ind w:right="153"/>
            </w:pPr>
            <w:r>
              <w:t>Внесение изменений в извещение о проведении запроса котировок</w:t>
            </w:r>
            <w:r>
              <w:t xml:space="preserve"> и закупочную документацию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6000000">
            <w:pPr>
              <w:pStyle w:val="Style_2"/>
              <w:numPr>
                <w:ilvl w:val="1"/>
                <w:numId w:val="4"/>
              </w:numPr>
              <w:tabs>
                <w:tab w:leader="none" w:pos="1132" w:val="left"/>
              </w:tabs>
              <w:ind w:firstLine="565" w:left="0" w:right="153"/>
            </w:pPr>
            <w:r>
              <w:t>В течение 3 (трех) дней со дня принятия решения о внесении изменений в извещение о проведении закупки и/или документацию, но не позднее срока окончания подачи заявок, такие изменения размещаются организатором на официальном сайте</w:t>
            </w:r>
            <w:r>
              <w:t xml:space="preserve"> и на ЭТП в порядке, установленном для размещения извещения о проведении закупки. </w:t>
            </w:r>
          </w:p>
          <w:p w14:paraId="17000000">
            <w:pPr>
              <w:pStyle w:val="Style_2"/>
              <w:numPr>
                <w:ilvl w:val="1"/>
                <w:numId w:val="4"/>
              </w:numPr>
              <w:tabs>
                <w:tab w:leader="none" w:pos="1132" w:val="left"/>
              </w:tabs>
              <w:ind w:firstLine="565" w:left="0" w:right="153"/>
            </w:pPr>
            <w:r>
              <w:t>При этом срок подачи заявок на участие в запросе котировок продлевается, так, чтобы со дня размещения внесенных изменений на официальном сайте и ЭТП до даты окончания подачи</w:t>
            </w:r>
            <w:r>
              <w:t xml:space="preserve"> заявок на участие в запросе котировок такой срок составлял не менее 2 (двух) рабочих дней.</w:t>
            </w:r>
          </w:p>
          <w:p w14:paraId="18000000">
            <w:pPr>
              <w:pStyle w:val="Style_2"/>
              <w:numPr>
                <w:ilvl w:val="1"/>
                <w:numId w:val="4"/>
              </w:numPr>
              <w:tabs>
                <w:tab w:leader="none" w:pos="1132" w:val="left"/>
              </w:tabs>
              <w:ind w:firstLine="565" w:left="0" w:right="153"/>
            </w:pPr>
            <w:r>
              <w:t>Любое изменение извещения о проведении запроса котировок (закупочной документации) является неотъемлемой их частью.</w:t>
            </w:r>
          </w:p>
        </w:tc>
      </w:tr>
      <w:tr>
        <w:trPr>
          <w:trHeight w:hRule="atLeast" w:val="24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9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A000000">
            <w:pPr>
              <w:ind w:right="153"/>
            </w:pPr>
            <w:r>
              <w:t>Обеспечение заявки на участие в запросе котиро</w:t>
            </w:r>
            <w:r>
              <w:t>вок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B000000">
            <w:pPr>
              <w:numPr>
                <w:ilvl w:val="0"/>
                <w:numId w:val="5"/>
              </w:numPr>
              <w:tabs>
                <w:tab w:leader="none" w:pos="1132" w:val="left"/>
              </w:tabs>
              <w:ind w:firstLine="566" w:left="0" w:right="153"/>
              <w:jc w:val="both"/>
            </w:pPr>
            <w:r>
              <w:t xml:space="preserve">В случае, если извещением о проведении закупки, документацией установлено требование об обеспечении заявки на участие в закупке, участник предоставляет обеспечение заявки в размере согласно требованиям, установленным в извещении о проведении закупки, </w:t>
            </w:r>
            <w:r>
              <w:t>путем предоставления независимой гарантии или внесения денежных средств</w:t>
            </w:r>
            <w:r>
              <w:rPr>
                <w:rFonts w:asciiTheme="minorAscii" w:hAnsiTheme="minorHAnsi"/>
                <w:sz w:val="22"/>
              </w:rPr>
              <w:t xml:space="preserve"> </w:t>
            </w:r>
            <w:r>
              <w:t>на специальный счет, открытый участником закупки в банке, включенном в перечень, определенный Правительством Российской Федерации.</w:t>
            </w:r>
          </w:p>
          <w:p w14:paraId="1C000000">
            <w:pPr>
              <w:numPr>
                <w:ilvl w:val="0"/>
                <w:numId w:val="5"/>
              </w:numPr>
              <w:tabs>
                <w:tab w:leader="none" w:pos="1132" w:val="left"/>
              </w:tabs>
              <w:ind w:firstLine="566" w:left="0" w:right="153"/>
              <w:jc w:val="both"/>
            </w:pPr>
            <w:r>
              <w:t>Предоставление в качестве обеспечения заявок на участ</w:t>
            </w:r>
            <w:r>
              <w:t>ие в закупке независимой гарантии осуществляется в соответствии с положениями и требованиями Законодательства о закупках.</w:t>
            </w:r>
          </w:p>
          <w:p w14:paraId="1D000000">
            <w:pPr>
              <w:numPr>
                <w:ilvl w:val="0"/>
                <w:numId w:val="5"/>
              </w:numPr>
              <w:tabs>
                <w:tab w:leader="none" w:pos="1132" w:val="left"/>
              </w:tabs>
              <w:ind w:firstLine="566" w:left="0" w:right="153"/>
              <w:jc w:val="both"/>
            </w:pPr>
            <w:r>
              <w:t xml:space="preserve">Независимая гарантия или ее копия предоставляется в составе второй части заявки не позднее окончания срока подачи заявок на участие в </w:t>
            </w:r>
            <w:r>
              <w:t>закупке, если в качестве обеспечения заявки на участие в закупке предоставляется независимая гарантия.</w:t>
            </w:r>
          </w:p>
          <w:p w14:paraId="1E000000">
            <w:pPr>
              <w:numPr>
                <w:ilvl w:val="0"/>
                <w:numId w:val="5"/>
              </w:numPr>
              <w:tabs>
                <w:tab w:leader="none" w:pos="1132" w:val="left"/>
              </w:tabs>
              <w:ind w:firstLine="566" w:left="0" w:right="153"/>
              <w:jc w:val="both"/>
            </w:pPr>
            <w:r>
              <w:t>Обеспечение заявки на участие в закупке удерживается при уклонении победителя закупки или единственного участника закупки, с которым заключается договор,</w:t>
            </w:r>
            <w:r>
              <w:t xml:space="preserve"> от заключения договора.</w:t>
            </w:r>
          </w:p>
        </w:tc>
      </w:tr>
      <w:tr>
        <w:trPr>
          <w:trHeight w:hRule="atLeast" w:val="38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1F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20000000">
            <w:pPr>
              <w:ind/>
              <w:jc w:val="both"/>
            </w:pPr>
            <w:r>
              <w:t>Подача и прием заявок на участие в запросе котировок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21000000">
            <w:pPr>
              <w:numPr>
                <w:ilvl w:val="0"/>
                <w:numId w:val="6"/>
              </w:numPr>
              <w:tabs>
                <w:tab w:leader="none" w:pos="0" w:val="left"/>
                <w:tab w:leader="none" w:pos="1204" w:val="left"/>
              </w:tabs>
              <w:ind w:firstLine="498" w:left="70" w:right="70"/>
              <w:jc w:val="both"/>
            </w:pPr>
            <w:r>
              <w:t xml:space="preserve">Для участия в запросе котировок участник запроса котировок должен подать заявку на участие в запросе котировок (предложение, состоящее из одной части и ценового предложения, </w:t>
            </w:r>
            <w:r>
              <w:t>предоставляемое с использованием функционала и в соответствии с регламентом ЭТП, сделанное в электронной форме с приложением комплекта электронных документов, указанных в разделе 2 части 1 документации) в срок, указанный в извещении о проведении запроса ко</w:t>
            </w:r>
            <w:r>
              <w:t>тировок. Заявка является предложением участника о заключении договора (офертой) и у участника запроса котировок возникает обязанность заключить договор на условиях документации и его предложения. Участник закупки, подавая заявку на участие в закупке, поним</w:t>
            </w:r>
            <w:r>
              <w:t>ает, что:</w:t>
            </w:r>
          </w:p>
          <w:p w14:paraId="22000000">
            <w:pPr>
              <w:tabs>
                <w:tab w:leader="none" w:pos="0" w:val="left"/>
                <w:tab w:leader="none" w:pos="1204" w:val="left"/>
              </w:tabs>
              <w:ind w:firstLine="489" w:left="70" w:right="70"/>
              <w:jc w:val="both"/>
            </w:pPr>
            <w:r>
              <w:t>- в его заявке исключительно общедоступная информация и, что в целях рассмотрения заявки, сведения из заявки будут переданы членам комиссии, экспертам и иным лицам;</w:t>
            </w:r>
          </w:p>
          <w:p w14:paraId="23000000">
            <w:pPr>
              <w:tabs>
                <w:tab w:leader="none" w:pos="0" w:val="left"/>
                <w:tab w:leader="none" w:pos="1204" w:val="left"/>
              </w:tabs>
              <w:ind w:firstLine="489" w:left="70" w:right="70"/>
              <w:jc w:val="both"/>
            </w:pPr>
            <w:r>
              <w:t>- в случае выполнения работ/оказания услуг представителями участника на территори</w:t>
            </w:r>
            <w:r>
              <w:t>и заказчика — должна быть создана и функционировать система управления охраной труда (СУОТ) и предоставлены до заключения договора документы, подтверждающие создание и функционирование СУОТ;</w:t>
            </w:r>
          </w:p>
          <w:p w14:paraId="24000000">
            <w:pPr>
              <w:tabs>
                <w:tab w:leader="none" w:pos="0" w:val="left"/>
                <w:tab w:leader="none" w:pos="1204" w:val="left"/>
              </w:tabs>
              <w:ind w:firstLine="489" w:left="70" w:right="70"/>
              <w:jc w:val="both"/>
            </w:pPr>
            <w:r>
              <w:t>- в случае заключения с ним договора должен будет предоставить до</w:t>
            </w:r>
            <w:r>
              <w:t xml:space="preserve"> заключения такого договора сведения о цепочке собственников, включая бенефициаров (в том числе конечных), по утвержденной форме и в соответствии с инструкциями, приведенными в закупочной документации, и документы, подтверждающие данные сведения;</w:t>
            </w:r>
          </w:p>
          <w:p w14:paraId="25000000">
            <w:pPr>
              <w:tabs>
                <w:tab w:leader="none" w:pos="0" w:val="left"/>
                <w:tab w:leader="none" w:pos="1204" w:val="left"/>
              </w:tabs>
              <w:ind w:firstLine="489" w:left="70" w:right="70"/>
              <w:jc w:val="both"/>
            </w:pPr>
            <w:r>
              <w:t>- до закл</w:t>
            </w:r>
            <w:r>
              <w:t>ючения договора должны быть переоформлены и предоставлены необходимые разрешающие документы, связанные с осуществлением видов деятельности, предусмотренных договором (в случае если такие разрешающие документы, связанные с осуществлением видов деятельности,</w:t>
            </w:r>
            <w:r>
              <w:t xml:space="preserve"> предусмотренных договором, закончили свое действие с момента окончания подачи заявок до момента подведения и до подведения итогов закупки);</w:t>
            </w:r>
          </w:p>
          <w:p w14:paraId="26000000">
            <w:pPr>
              <w:tabs>
                <w:tab w:leader="none" w:pos="0" w:val="left"/>
                <w:tab w:leader="none" w:pos="1204" w:val="left"/>
              </w:tabs>
              <w:ind w:firstLine="489" w:left="70" w:right="70"/>
              <w:jc w:val="both"/>
            </w:pPr>
            <w:r>
              <w:t>- при привлечении субподрядчиков/соисполнителей, если условиями договора допускается их привлечение, такие субподря</w:t>
            </w:r>
            <w:r>
              <w:t>дчики/соисполнители, выполняющие работы/оказывающие услуги для исполнения договора, соответствуют требованиям, установленным в документации в отношении участника закупки, в том числе в части обладания специальной правоспособностью.</w:t>
            </w:r>
          </w:p>
          <w:p w14:paraId="27000000">
            <w:pPr>
              <w:tabs>
                <w:tab w:leader="none" w:pos="1204" w:val="left"/>
              </w:tabs>
              <w:ind w:firstLine="567" w:left="-4" w:right="70"/>
              <w:jc w:val="both"/>
            </w:pPr>
            <w:r>
              <w:t xml:space="preserve">С помощью программных и </w:t>
            </w:r>
            <w:r>
              <w:t xml:space="preserve">технических средств ЭТП обеспечивается отсутствие возможности подать заявку на ЭТП после установленного окончания срока подачи заявок. </w:t>
            </w:r>
          </w:p>
          <w:p w14:paraId="28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 w:right="70"/>
              <w:jc w:val="both"/>
            </w:pPr>
            <w:r>
              <w:t>Участник запроса котировок вправе подать только одну заявку на участие в запросе котировок.</w:t>
            </w:r>
          </w:p>
          <w:p w14:paraId="29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 w:right="70"/>
              <w:jc w:val="both"/>
            </w:pPr>
            <w:r>
              <w:t>Все электронные документы (ф</w:t>
            </w:r>
            <w:r>
              <w:t xml:space="preserve">ормы, заполненные в соответствии с требованиями закупочной документации, а также иные сведения и документы, предусмотренные документацией, оформленные в соответствии с требованиями документации), не заполняемые с помощью функционала ЭТП, входящие в состав </w:t>
            </w:r>
            <w:r>
              <w:t>заявки на участие в запросе котировок должны быть предоставлены участником запроса котировок через ЭТП в доступном для прочтения формате (предпочтительнее формат *.</w:t>
            </w:r>
            <w:r>
              <w:t>pdf</w:t>
            </w:r>
            <w:r>
              <w:t>, формат: один файл – один документ). Все файлы заявки на участие в запросе котировок, ра</w:t>
            </w:r>
            <w:r>
              <w:t>змещенные участником запроса котировок на ЭТП, должны иметь наименование либо комментарий, позволяющие идентифицировать содержание данного файла заявки на участие в запросе котировок, с указанием наименования документа, представленного данным файлом. При э</w:t>
            </w:r>
            <w:r>
              <w:t>том размещать на ЭТП документы необходимо после того, как они будут оформлены в соответствии с инструкциями, приведенными в документации. Допускается размещение на ЭТП документов, сохраненных в архивах, при этом размещение на ЭТП архивов, разделенных на не</w:t>
            </w:r>
            <w:r>
              <w:t>сколько частей, открытие каждой из которых по отдельности невозможно, не допускается.</w:t>
            </w:r>
          </w:p>
          <w:p w14:paraId="2A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 w:right="70"/>
              <w:jc w:val="both"/>
            </w:pPr>
            <w:r>
              <w:t>Заказчик в документации устанавливает требование о минимальном сроке действия заявки на участие в запросе котировок, который должен быть 60 календарных дней со дня оконча</w:t>
            </w:r>
            <w:r>
              <w:t xml:space="preserve">ния срока подачи заявок. </w:t>
            </w:r>
          </w:p>
          <w:p w14:paraId="2B000000">
            <w:pPr>
              <w:pStyle w:val="Style_2"/>
              <w:tabs>
                <w:tab w:leader="none" w:pos="818" w:val="left"/>
                <w:tab w:leader="none" w:pos="1148" w:val="left"/>
              </w:tabs>
              <w:ind w:firstLine="498" w:left="0" w:right="70"/>
            </w:pPr>
            <w:r>
              <w:t xml:space="preserve">В документации при необходимости устанавливается увеличенный срок действия заявки на участие в запросе котировок на количество дней осуществления требуемых мероприятий, если в соответствии с законодательством Российской Федерации </w:t>
            </w:r>
            <w:r>
              <w:t xml:space="preserve">для заключения договора необходимо его одобрение органом управления заказчика. </w:t>
            </w:r>
          </w:p>
          <w:p w14:paraId="2C000000">
            <w:pPr>
              <w:pStyle w:val="Style_2"/>
              <w:tabs>
                <w:tab w:leader="none" w:pos="818" w:val="left"/>
                <w:tab w:leader="none" w:pos="1148" w:val="left"/>
              </w:tabs>
              <w:ind w:firstLine="498" w:left="0" w:right="70"/>
            </w:pPr>
            <w:r>
              <w:t>Заявка на участие в запросе котировок должна быть действительна не менее срока, указанного в документации.</w:t>
            </w:r>
          </w:p>
          <w:p w14:paraId="2D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 w:right="70"/>
              <w:jc w:val="both"/>
            </w:pPr>
            <w:r>
              <w:t xml:space="preserve">Документы и сведения, размещаемые участником запроса котировок </w:t>
            </w:r>
            <w:r>
              <w:t>на ЭТП, должны быть подписаны ЭП лица, имеющего право действовать от имени участника запроса котировок.</w:t>
            </w:r>
          </w:p>
          <w:p w14:paraId="2E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 w:right="70"/>
              <w:jc w:val="both"/>
            </w:pPr>
            <w:r>
              <w:t>Участник запроса котировок, подавший заявку на участие в запросе котировок, вправе изменить или отозвать свою заявку на участие в запросе котировок в лю</w:t>
            </w:r>
            <w:r>
              <w:t xml:space="preserve">бое время после ее подачи, но до истечения срока окончания подачи заявок на участие в запросе котировок, указанного в извещении о проведении запроса котировок. Отзыв заявки либо изменение поданной заявки участником запроса котировок </w:t>
            </w:r>
            <w:r>
              <w:t>после окончания</w:t>
            </w:r>
            <w:r>
              <w:t xml:space="preserve"> установ</w:t>
            </w:r>
            <w:r>
              <w:t>ленного извещением о проведении запроса котировок срока подачи заявок, не допускается, за исключением случаев, когда изменение заявки осуществляется в порядке, предусмотренном документацией по основаниям, предусмотренным Стандартом.</w:t>
            </w:r>
          </w:p>
          <w:p w14:paraId="2F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0" w:right="70"/>
              <w:jc w:val="both"/>
            </w:pPr>
            <w:bookmarkStart w:id="3" w:name="_Ref525743212"/>
            <w:r>
              <w:t>Если организатор продле</w:t>
            </w:r>
            <w:r>
              <w:t>вает срок подачи заявок, то участник запроса котировок должен продлить срок действия обеспечения заявки на участие в запросе котировок и представить его в составе заявки на участие в запросе котировок, если требование об обеспечении заявок предусмотрено из</w:t>
            </w:r>
            <w:r>
              <w:t>вещением о проведении запроса котировок и документацией, в качестве обеспечения заявки предоставлялась независимая гарантия и срок действия такой ранее представленной независимой гарантии меньше срока действия заявки.</w:t>
            </w:r>
          </w:p>
          <w:p w14:paraId="30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0" w:right="70"/>
              <w:jc w:val="both"/>
            </w:pPr>
            <w:bookmarkStart w:id="4" w:name="_Ref7102198"/>
            <w:r>
              <w:t xml:space="preserve">Условия заявки на участие в запросе </w:t>
            </w:r>
            <w:r>
              <w:t>котировок, указанные участниками в электронных формах на ЭТП, имеют преимущество перед сведениями, указанными в загруженных на ЭТП электронных документах.</w:t>
            </w:r>
            <w:bookmarkEnd w:id="3"/>
            <w:bookmarkEnd w:id="4"/>
          </w:p>
          <w:p w14:paraId="31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0" w:right="70"/>
              <w:jc w:val="both"/>
            </w:pPr>
            <w:r>
              <w:t>При наличии арифметических ошибок применяется следующее правило: при наличии разночтений между суммой</w:t>
            </w:r>
            <w:r>
              <w:t>, указанной словами, и суммой, указанной цифрами, преимущество имеет сумма, указанная словами.</w:t>
            </w:r>
          </w:p>
          <w:p w14:paraId="32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/>
              <w:jc w:val="both"/>
            </w:pPr>
            <w:r>
              <w:t>Открытие доступа организатору к заявкам на участие в запросе котировок и содержащимся в них документам и сведениям, а также к ценовым предложениям производится а</w:t>
            </w:r>
            <w:r>
              <w:t xml:space="preserve">втоматически с помощью программно-аппаратных средств ЭТП, не позднее дня, следующего за днем окончания срока подачи заявок, установленного в извещении о проведении запроса котировок. </w:t>
            </w:r>
          </w:p>
          <w:p w14:paraId="33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/>
              <w:jc w:val="both"/>
            </w:pPr>
            <w:r>
              <w:t xml:space="preserve">Если по окончании срока подачи заявок на участие в запросе котировок не </w:t>
            </w:r>
            <w:r>
              <w:t>подано ни одной заявки, запрос котировок признается несостоявшимся, сведения об этом отражаются в итоговом протоколе и такой протокол подписывается секретарем закупочной комиссии.</w:t>
            </w:r>
          </w:p>
          <w:p w14:paraId="34000000">
            <w:pPr>
              <w:numPr>
                <w:ilvl w:val="0"/>
                <w:numId w:val="6"/>
              </w:numPr>
              <w:tabs>
                <w:tab w:leader="none" w:pos="1204" w:val="left"/>
              </w:tabs>
              <w:ind w:firstLine="498" w:left="-2"/>
              <w:jc w:val="both"/>
            </w:pPr>
            <w:bookmarkStart w:id="5" w:name="_Ref525733147"/>
            <w:r>
              <w:t>Если по окончании срока подачи заявок на участие в запросе котировок была по</w:t>
            </w:r>
            <w:r>
              <w:t>дана только одна заявка, запрос котировок признается несостоявшимся и заявка рассматривается в порядке, установленном в пункте 7 настоящего раздела.</w:t>
            </w:r>
            <w:bookmarkEnd w:id="5"/>
          </w:p>
        </w:tc>
      </w:tr>
      <w:tr>
        <w:trPr>
          <w:trHeight w:hRule="atLeast" w:val="38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35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36000000">
            <w:pPr>
              <w:ind/>
              <w:jc w:val="both"/>
            </w:pPr>
            <w:r>
              <w:t>Отстранение участника запроса котировок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37000000">
            <w:pPr>
              <w:pStyle w:val="Style_2"/>
              <w:numPr>
                <w:ilvl w:val="0"/>
                <w:numId w:val="7"/>
              </w:numPr>
              <w:tabs>
                <w:tab w:leader="none" w:pos="1058" w:val="left"/>
              </w:tabs>
              <w:ind w:firstLine="637" w:left="0"/>
            </w:pPr>
            <w:r>
              <w:t>Участник закупки</w:t>
            </w:r>
            <w:r>
              <w:t xml:space="preserve"> несет ответственность за предоставление в составе заявки недостоверных сведений.</w:t>
            </w:r>
          </w:p>
          <w:p w14:paraId="38000000">
            <w:pPr>
              <w:pStyle w:val="Style_2"/>
              <w:numPr>
                <w:ilvl w:val="0"/>
                <w:numId w:val="7"/>
              </w:numPr>
              <w:tabs>
                <w:tab w:leader="none" w:pos="1058" w:val="left"/>
              </w:tabs>
              <w:ind w:firstLine="637" w:left="0"/>
            </w:pPr>
            <w:r>
              <w:t>В любой момент вплоть до подведения итогов комиссия принимает решение об отстранении участника закупки, в том числе участника, заявка которого соответствует требованиям докум</w:t>
            </w:r>
            <w:r>
              <w:t xml:space="preserve">ентации, в следующих случаях: </w:t>
            </w:r>
          </w:p>
          <w:p w14:paraId="39000000">
            <w:pPr>
              <w:pStyle w:val="Style_2"/>
              <w:tabs>
                <w:tab w:leader="none" w:pos="1062" w:val="left"/>
              </w:tabs>
              <w:ind w:firstLine="0" w:left="0"/>
            </w:pPr>
            <w:r>
              <w:t xml:space="preserve">          а) при поступлении документов в нечитаемом виде или подразумевающих двойное трактование (разночтение) заявки на участие в закупке, а также если в представленных документах отсутствуют сведения, необходимые для опред</w:t>
            </w:r>
            <w:r>
              <w:t>еления соответствия заявки требованиям документации (в том числе сведения, необходимые для оценки) в отношении характеристик предлагаемых товаров, работ, услуг;</w:t>
            </w:r>
          </w:p>
          <w:p w14:paraId="3A000000">
            <w:pPr>
              <w:pStyle w:val="Style_2"/>
              <w:tabs>
                <w:tab w:leader="none" w:pos="1062" w:val="left"/>
              </w:tabs>
              <w:ind w:firstLine="0" w:left="0"/>
            </w:pPr>
            <w:r>
              <w:t>- при наличии сомнений в достоверности копии документа;</w:t>
            </w:r>
          </w:p>
          <w:p w14:paraId="3B000000">
            <w:pPr>
              <w:pStyle w:val="Style_2"/>
              <w:tabs>
                <w:tab w:leader="none" w:pos="1062" w:val="left"/>
              </w:tabs>
              <w:ind w:firstLine="0" w:left="0"/>
            </w:pPr>
            <w:r>
              <w:t>При этом проверка достоверности сведени</w:t>
            </w:r>
            <w:r>
              <w:t>й и документов, поданных в составе заявки на участие в закупке, осуществляется при возникновении сомнений в их достоверности и наличии возможности проведения такой проверки доступными способами, в том числе, включая направление запросов в государственные о</w:t>
            </w:r>
            <w:r>
              <w:t>рганы или лицам, указанным в заявке;</w:t>
            </w:r>
          </w:p>
          <w:p w14:paraId="3C000000">
            <w:pPr>
              <w:pStyle w:val="Style_2"/>
              <w:tabs>
                <w:tab w:leader="none" w:pos="1062" w:val="left"/>
              </w:tabs>
              <w:ind w:firstLine="0" w:left="637"/>
            </w:pPr>
            <w:r>
              <w:t>б) при выявлении подкрепленного документами факта давления таким участником закупки на члена комиссии, эксперта, руководителя организатора или заказчика;</w:t>
            </w:r>
          </w:p>
          <w:p w14:paraId="3D000000">
            <w:pPr>
              <w:pStyle w:val="Style_2"/>
              <w:tabs>
                <w:tab w:leader="none" w:pos="1062" w:val="left"/>
              </w:tabs>
              <w:ind/>
            </w:pPr>
            <w:r>
              <w:t xml:space="preserve"> в) при </w:t>
            </w:r>
            <w:r>
              <w:t>неподтверждении</w:t>
            </w:r>
            <w:r>
              <w:t xml:space="preserve"> лицом, от имени которого представлена </w:t>
            </w:r>
            <w:r>
              <w:t>независимая гарантия, выдачи такой гарантии.</w:t>
            </w:r>
          </w:p>
          <w:p w14:paraId="3E000000">
            <w:pPr>
              <w:pStyle w:val="Style_2"/>
              <w:ind w:firstLine="637" w:left="0"/>
            </w:pPr>
            <w:r>
              <w:t>Решение об отстранении участника закупки оформляется протоколом заседания комиссии.</w:t>
            </w:r>
          </w:p>
          <w:p w14:paraId="3F000000">
            <w:pPr>
              <w:pStyle w:val="Style_2"/>
              <w:numPr>
                <w:ilvl w:val="0"/>
                <w:numId w:val="7"/>
              </w:numPr>
              <w:tabs>
                <w:tab w:leader="none" w:pos="1058" w:val="left"/>
              </w:tabs>
              <w:ind w:firstLine="637" w:left="0"/>
            </w:pPr>
            <w:r>
              <w:t>Сведения об участнике закупки вносятся в информационную систему «Расчет рейтинга деловой репутации поставщиков» в порядке, пред</w:t>
            </w:r>
            <w:r>
              <w:t>усмотренном Едиными отраслевыми методическими указаниями по оценке деловой репутации, размещенными на сайте http://rdr.rosatom.ru/, в следующих случаях:</w:t>
            </w:r>
          </w:p>
          <w:p w14:paraId="40000000">
            <w:pPr>
              <w:pStyle w:val="Style_2"/>
              <w:numPr>
                <w:ilvl w:val="0"/>
                <w:numId w:val="8"/>
              </w:numPr>
              <w:tabs>
                <w:tab w:leader="none" w:pos="1062" w:val="left"/>
              </w:tabs>
              <w:ind w:firstLine="637" w:left="0"/>
            </w:pPr>
            <w:r>
              <w:t>при предоставлении участником закупки в составе заявки на участие в закупке и (или) при заключении дого</w:t>
            </w:r>
            <w:r>
              <w:t>вора фальсифицированных, недостоверных документов и (или) сведений;</w:t>
            </w:r>
          </w:p>
          <w:p w14:paraId="41000000">
            <w:pPr>
              <w:pStyle w:val="Style_2"/>
              <w:numPr>
                <w:ilvl w:val="0"/>
                <w:numId w:val="8"/>
              </w:numPr>
              <w:tabs>
                <w:tab w:leader="none" w:pos="1062" w:val="left"/>
              </w:tabs>
              <w:ind w:firstLine="637" w:left="0"/>
            </w:pPr>
            <w:r>
              <w:t xml:space="preserve">при </w:t>
            </w:r>
            <w:r>
              <w:t>неподтверждении</w:t>
            </w:r>
            <w:r>
              <w:t xml:space="preserve"> лицом, от имени которого представлена независимая гарантия, выдачи такой гарантии. </w:t>
            </w:r>
          </w:p>
          <w:p w14:paraId="42000000">
            <w:pPr>
              <w:ind w:firstLine="637" w:left="0"/>
              <w:jc w:val="both"/>
            </w:pPr>
            <w:r>
              <w:t>6.4. Сведения об участнике закупки, внесенные в информационную систему «Расчет рейти</w:t>
            </w:r>
            <w:r>
              <w:t>нга деловой репутации поставщиков», используются при проведении конкурса, запроса предложений при оценке второй части заявок на участие в закупке для определения Итогового рейтинга заявки участника закупки согласно приложению № 10 к Стандарту.</w:t>
            </w:r>
          </w:p>
        </w:tc>
      </w:tr>
      <w:tr>
        <w:trPr>
          <w:trHeight w:hRule="atLeast" w:val="38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43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  <w:bookmarkStart w:id="6" w:name="_Ref525742217"/>
            <w:bookmarkEnd w:id="6"/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44000000">
            <w:pPr>
              <w:ind/>
              <w:jc w:val="both"/>
            </w:pPr>
            <w:r>
              <w:t xml:space="preserve">Рассмотрение заявок на участие в запросе котировок и подведение итогов запроса котировок. </w:t>
            </w:r>
            <w:r>
              <w:t>Выбор победителя запроса котировок</w:t>
            </w:r>
          </w:p>
          <w:p w14:paraId="45000000">
            <w:pPr>
              <w:ind/>
              <w:jc w:val="both"/>
            </w:pP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46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в течение 1 (одного) рабочего дня после направления ЭТП информации, указанной в п. 5.10 настоящего раздела, проводит расс</w:t>
            </w:r>
            <w:r>
              <w:rPr>
                <w:rFonts w:ascii="Times New Roman" w:hAnsi="Times New Roman"/>
                <w:sz w:val="24"/>
              </w:rPr>
              <w:t>мотрение заявок на участие в запросе котировок и подведение итогов запроса котировок. По итогам запроса котировок оформляется итоговый протокол заседания комиссии, который содержит результаты по рассмотрению заявок на участие в запросе котировок и подведен</w:t>
            </w:r>
            <w:r>
              <w:rPr>
                <w:rFonts w:ascii="Times New Roman" w:hAnsi="Times New Roman"/>
                <w:sz w:val="24"/>
              </w:rPr>
              <w:t>ию итогов запроса котировок.</w:t>
            </w:r>
          </w:p>
          <w:p w14:paraId="47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Организатор, по решению комиссии, либо по указанию заказчика привлекает экспертов к рассмотрению заявок на участие в запросе котировок. При принятии такого решения комиссия рассматривает оценки и рекомендации </w:t>
            </w:r>
            <w:r>
              <w:rPr>
                <w:rFonts w:ascii="Times New Roman" w:hAnsi="Times New Roman"/>
                <w:sz w:val="24"/>
              </w:rPr>
              <w:t>экспертов (если он</w:t>
            </w:r>
            <w:r>
              <w:rPr>
                <w:rFonts w:ascii="Times New Roman" w:hAnsi="Times New Roman"/>
                <w:sz w:val="24"/>
              </w:rPr>
              <w:t>и привлекались).</w:t>
            </w:r>
          </w:p>
          <w:p w14:paraId="48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рассмотрении заявок на участие в запросе котировок критерием отбора является соответствие сведений и документов в составе заявки участников требованиям документации.</w:t>
            </w:r>
          </w:p>
          <w:p w14:paraId="49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случае, если заявка на участие в запросе котировок не соответствует</w:t>
            </w:r>
            <w:r>
              <w:rPr>
                <w:rFonts w:ascii="Times New Roman" w:hAnsi="Times New Roman"/>
                <w:sz w:val="24"/>
              </w:rPr>
              <w:t xml:space="preserve"> требованию по обеспечению заявки на участие в запросе котировок, если требование об обеспечении заявок предусмотрено извещением о проведении запроса котировок и документацией, и в качестве обеспечения заявок на участие в запросе котировок предоставлена не</w:t>
            </w:r>
            <w:r>
              <w:rPr>
                <w:rFonts w:ascii="Times New Roman" w:hAnsi="Times New Roman"/>
                <w:sz w:val="24"/>
              </w:rPr>
              <w:t>зависимая гарантия, заявка такого участника на соответствие остальным требованиям извещения о проведении запроса котировок и документации не рассматривается и информация об этом указывается в итоговом протоколе, оформленном согласно пункту 7.1 настоящего р</w:t>
            </w:r>
            <w:r>
              <w:rPr>
                <w:rFonts w:ascii="Times New Roman" w:hAnsi="Times New Roman"/>
                <w:sz w:val="24"/>
              </w:rPr>
              <w:t xml:space="preserve">аздела. </w:t>
            </w:r>
          </w:p>
          <w:p w14:paraId="4A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ходе рассмотрения заявок на участие в запросе котировок организатор имеет право запрашивать у соответствующих органов государственной власти, а также юридических и физических лиц, указанных в заявке на участие в запросе котировок и приложениях к</w:t>
            </w:r>
            <w:r>
              <w:rPr>
                <w:rFonts w:ascii="Times New Roman" w:hAnsi="Times New Roman"/>
                <w:sz w:val="24"/>
              </w:rPr>
              <w:t xml:space="preserve"> ней, информацию о соответствии предоставленных участником запроса котировок сведений действительности.</w:t>
            </w:r>
          </w:p>
          <w:p w14:paraId="4B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наличии сомнений в достоверности копии документа организатор запрашивает документ, предоставленный в копии. В случае, если участник запроса </w:t>
            </w:r>
            <w:r>
              <w:rPr>
                <w:rFonts w:ascii="Times New Roman" w:hAnsi="Times New Roman"/>
                <w:sz w:val="24"/>
              </w:rPr>
              <w:t>котировок в установленный в запросе разумный срок не предоставил документ, копия документа не рассматривается и документ считается не предоставленным.</w:t>
            </w:r>
          </w:p>
          <w:p w14:paraId="4C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выявлении разночтений согласно пункту 5.8 настоящего раздела к рассмотрению принимаются сведения, ука</w:t>
            </w:r>
            <w:r>
              <w:rPr>
                <w:rFonts w:ascii="Times New Roman" w:hAnsi="Times New Roman"/>
                <w:sz w:val="24"/>
              </w:rPr>
              <w:t xml:space="preserve">занные на ЭТП. </w:t>
            </w:r>
          </w:p>
          <w:p w14:paraId="4D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bookmarkStart w:id="7" w:name="_Ref525742994"/>
            <w:r>
              <w:rPr>
                <w:rFonts w:ascii="Times New Roman" w:hAnsi="Times New Roman"/>
                <w:sz w:val="24"/>
              </w:rPr>
              <w:t>По итогам рассмотрения заявок комиссия на своем заседании в отношении каждой заявки на участие в запросе котировок принимает решение о соответствии заявки на участие в запросе котировок в целом требованиям документации либо отклонении заявк</w:t>
            </w:r>
            <w:r>
              <w:rPr>
                <w:rFonts w:ascii="Times New Roman" w:hAnsi="Times New Roman"/>
                <w:sz w:val="24"/>
              </w:rPr>
              <w:t>и такого участника запроса котировок. Основаниями для отклонения заявки являются:</w:t>
            </w:r>
            <w:bookmarkEnd w:id="7"/>
          </w:p>
          <w:p w14:paraId="4E000000">
            <w:pPr>
              <w:pStyle w:val="Style_2"/>
              <w:numPr>
                <w:ilvl w:val="0"/>
                <w:numId w:val="10"/>
              </w:numPr>
              <w:tabs>
                <w:tab w:leader="none" w:pos="1204" w:val="left"/>
              </w:tabs>
              <w:ind w:firstLine="639" w:left="-2"/>
            </w:pPr>
            <w:bookmarkStart w:id="8" w:name="_Ref526766009"/>
            <w:r>
              <w:t>несоответствие заявки по составу, содержанию и оформлению, в том числе представленного технического предложения;</w:t>
            </w:r>
            <w:bookmarkEnd w:id="8"/>
          </w:p>
          <w:p w14:paraId="4F000000">
            <w:pPr>
              <w:pStyle w:val="Style_2"/>
              <w:numPr>
                <w:ilvl w:val="0"/>
                <w:numId w:val="10"/>
              </w:numPr>
              <w:tabs>
                <w:tab w:leader="none" w:pos="1204" w:val="left"/>
              </w:tabs>
              <w:ind w:firstLine="639" w:left="-2"/>
            </w:pPr>
            <w:r>
              <w:t>несоответствие участника запроса котировок требованиям докуме</w:t>
            </w:r>
            <w:r>
              <w:t>нтации, в том числе отсутствие информации об участнике закупки в едином реестре субъектов малого и среднего предпринимательства;</w:t>
            </w:r>
          </w:p>
          <w:p w14:paraId="50000000">
            <w:pPr>
              <w:pStyle w:val="Style_2"/>
              <w:numPr>
                <w:ilvl w:val="0"/>
                <w:numId w:val="10"/>
              </w:numPr>
              <w:tabs>
                <w:tab w:leader="none" w:pos="1204" w:val="left"/>
              </w:tabs>
              <w:ind w:firstLine="639" w:left="-2"/>
            </w:pPr>
            <w:r>
              <w:t>несоответствие продукции, указанной в заявке на участие в запросе котировок, требованиям документации;</w:t>
            </w:r>
          </w:p>
          <w:p w14:paraId="51000000">
            <w:pPr>
              <w:pStyle w:val="Style_2"/>
              <w:numPr>
                <w:ilvl w:val="0"/>
                <w:numId w:val="10"/>
              </w:numPr>
              <w:tabs>
                <w:tab w:leader="none" w:pos="1204" w:val="left"/>
              </w:tabs>
              <w:ind w:firstLine="639" w:left="-2"/>
            </w:pPr>
            <w:r>
              <w:t>несоответствие договорны</w:t>
            </w:r>
            <w:r>
              <w:t>х условий, указанных в заявке на участие в запросе котировок, требованиям документации;</w:t>
            </w:r>
          </w:p>
          <w:p w14:paraId="52000000">
            <w:pPr>
              <w:pStyle w:val="Style_2"/>
              <w:numPr>
                <w:ilvl w:val="0"/>
                <w:numId w:val="10"/>
              </w:numPr>
              <w:tabs>
                <w:tab w:leader="none" w:pos="1204" w:val="left"/>
              </w:tabs>
              <w:ind w:firstLine="639" w:left="-2"/>
            </w:pPr>
            <w:r>
              <w:t>отсутствие или несоответствие размера, условий или порядка предоставления обеспечения заявки (если требовалось), если обеспечение заявки на участие в закупке осуществля</w:t>
            </w:r>
            <w:r>
              <w:t>ется путем предоставления независимой гарантии.</w:t>
            </w:r>
          </w:p>
          <w:p w14:paraId="53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Отклонение заявок на участие в запросе котировок по результатам рассмотрения заявок на участие в запросе </w:t>
            </w:r>
            <w:r>
              <w:rPr>
                <w:rFonts w:ascii="Times New Roman" w:hAnsi="Times New Roman"/>
                <w:sz w:val="24"/>
              </w:rPr>
              <w:t>котировок по иным основаниям, кроме указанных в пункте 7.8 не допускается.</w:t>
            </w:r>
          </w:p>
          <w:p w14:paraId="54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случае, если по результата</w:t>
            </w:r>
            <w:r>
              <w:rPr>
                <w:rFonts w:ascii="Times New Roman" w:hAnsi="Times New Roman"/>
                <w:sz w:val="24"/>
              </w:rPr>
              <w:t>м рассмотрения заявок на участие в запросе котировок комиссией принято решение об отклонении всех заявок на участие в запросе котировок или о соответствии заявки на участие в запросе котировок требованиям документации только одного участника, запрос котиро</w:t>
            </w:r>
            <w:r>
              <w:rPr>
                <w:rFonts w:ascii="Times New Roman" w:hAnsi="Times New Roman"/>
                <w:sz w:val="24"/>
              </w:rPr>
              <w:t>вок признается несостоявшимся.</w:t>
            </w:r>
          </w:p>
          <w:p w14:paraId="55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присваивает участникам запроса котировок, заявки которых были признаны соответствующими условиям запроса котировок, места (порядковые номера), начиная с первого. При этом первое место присваивается участнику запроса </w:t>
            </w:r>
            <w:r>
              <w:rPr>
                <w:rFonts w:ascii="Times New Roman" w:hAnsi="Times New Roman"/>
                <w:sz w:val="24"/>
              </w:rPr>
              <w:t>котировок, который предложил минимальную цену договора. В случае, если в нескольких таких заявках содержатся одинаковые ценовые предложения, меньший порядковый номер присваивается заявке, которая поступила ранее других таких заявок.</w:t>
            </w:r>
          </w:p>
          <w:p w14:paraId="56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Победителем запроса кот</w:t>
            </w:r>
            <w:r>
              <w:rPr>
                <w:rFonts w:ascii="Times New Roman" w:hAnsi="Times New Roman"/>
                <w:sz w:val="24"/>
              </w:rPr>
              <w:t>ировок, с которым заключается договор, признается лицо, заявка которого соответствует требованиям, установленным документацией, и которое предложило наиболее низкую цену договора.</w:t>
            </w:r>
          </w:p>
          <w:p w14:paraId="57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случае, если по окончании срока подачи заявок на участие в закупке была по</w:t>
            </w:r>
            <w:r>
              <w:rPr>
                <w:rFonts w:ascii="Times New Roman" w:hAnsi="Times New Roman"/>
                <w:sz w:val="24"/>
              </w:rPr>
              <w:t>дана только одна заявка на участие в закупке и данная заявка и подавший ее участник закупки отвечают всем требованиям и условиям, предусмотренным документацией, либо принято решение о соответствии требованиям документации только одной заявки, заказчик прин</w:t>
            </w:r>
            <w:r>
              <w:rPr>
                <w:rFonts w:ascii="Times New Roman" w:hAnsi="Times New Roman"/>
                <w:sz w:val="24"/>
              </w:rPr>
              <w:t>имает решение:</w:t>
            </w:r>
          </w:p>
          <w:p w14:paraId="58000000">
            <w:pPr>
              <w:pStyle w:val="Style_3"/>
              <w:widowControl w:val="0"/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 о заключении договора с таким единственным участником закупки в срок не позднее дня, предшествующего размещению протокола, указанного в пункте 7.1 настоящего раздела, на официальных сайтах и ЭТП в порядке, указанном в настоящем пункте, по</w:t>
            </w:r>
            <w:r>
              <w:rPr>
                <w:rFonts w:ascii="Times New Roman" w:hAnsi="Times New Roman"/>
                <w:sz w:val="24"/>
              </w:rPr>
              <w:t xml:space="preserve"> цене, в объеме и на условиях, указанных таким единственным участником в его заявке, или на лучших для заказчика условиях, достигнутых по результатам преддоговорных переговоров, либо</w:t>
            </w:r>
          </w:p>
          <w:p w14:paraId="59000000">
            <w:pPr>
              <w:pStyle w:val="Style_3"/>
              <w:widowControl w:val="0"/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 о проведении повторной закупки, либо</w:t>
            </w:r>
          </w:p>
          <w:p w14:paraId="5A000000">
            <w:pPr>
              <w:pStyle w:val="Style_3"/>
              <w:widowControl w:val="0"/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 об отказе от заключения догово</w:t>
            </w:r>
            <w:r>
              <w:rPr>
                <w:rFonts w:ascii="Times New Roman" w:hAnsi="Times New Roman"/>
                <w:sz w:val="24"/>
              </w:rPr>
              <w:t>ра в случаях, указанных в части 4 статьи 6.2.2 Стандарта.</w:t>
            </w:r>
          </w:p>
          <w:p w14:paraId="5B000000">
            <w:pPr>
              <w:pStyle w:val="Style_3"/>
              <w:widowControl w:val="0"/>
              <w:numPr>
                <w:ilvl w:val="0"/>
                <w:numId w:val="9"/>
              </w:numPr>
              <w:tabs>
                <w:tab w:leader="none" w:pos="1204" w:val="left"/>
              </w:tabs>
              <w:spacing w:after="0" w:line="240" w:lineRule="auto"/>
              <w:ind w:firstLine="637" w:left="0"/>
              <w:contextualSpacing w:val="0"/>
              <w:jc w:val="both"/>
              <w:rPr>
                <w:spacing w:val="-6"/>
              </w:rPr>
            </w:pPr>
            <w:r>
              <w:rPr>
                <w:rFonts w:ascii="Times New Roman" w:hAnsi="Times New Roman"/>
                <w:sz w:val="24"/>
              </w:rPr>
              <w:t>Если отсутствует решение заказчика на момент размещения протокола, указанного в пункте 7.1 настоящего раздела, то заказчиком договор с единственным участником не заключается.</w:t>
            </w:r>
          </w:p>
        </w:tc>
      </w:tr>
      <w:tr>
        <w:trPr>
          <w:trHeight w:hRule="atLeast" w:val="38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5C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5D000000">
            <w:pPr>
              <w:ind w:right="153"/>
            </w:pPr>
            <w:r>
              <w:t xml:space="preserve">Преддоговорные </w:t>
            </w:r>
            <w:r>
              <w:t>переговоры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5E000000">
            <w:pPr>
              <w:pStyle w:val="Style_3"/>
              <w:spacing w:after="0" w:line="240" w:lineRule="auto"/>
              <w:ind w:firstLine="0" w:left="637" w:right="15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Преддоговорные переговоры проводятся в порядке и сроки, установленные статьей 9.3 Стандарта.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5F000000">
            <w:pPr>
              <w:numPr>
                <w:ilvl w:val="0"/>
                <w:numId w:val="1"/>
              </w:numPr>
              <w:tabs>
                <w:tab w:leader="none" w:pos="786" w:val="left"/>
              </w:tabs>
              <w:ind w:hanging="15" w:left="0"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0000000">
            <w:pPr>
              <w:ind w:right="153"/>
              <w:rPr>
                <w:spacing w:val="-6"/>
              </w:rPr>
            </w:pPr>
            <w:r>
              <w:rPr>
                <w:spacing w:val="-6"/>
              </w:rPr>
              <w:t>Порядок заключения договора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1000000">
            <w:pPr>
              <w:tabs>
                <w:tab w:leader="none" w:pos="1416" w:val="left"/>
              </w:tabs>
              <w:ind/>
              <w:jc w:val="both"/>
            </w:pPr>
            <w:bookmarkStart w:id="9" w:name="_Ref438670539"/>
            <w:r>
              <w:t xml:space="preserve">9.1. </w:t>
            </w:r>
            <w:r>
              <w:t xml:space="preserve">Договор по результатам закупки заключается с использованием программно-аппаратных средств ЭТП и должен быть подписан ЭП лица, имеющего право действовать от имени соответственно участника закупки, заказчика. </w:t>
            </w:r>
          </w:p>
          <w:p w14:paraId="62000000">
            <w:pPr>
              <w:tabs>
                <w:tab w:leader="none" w:pos="1416" w:val="left"/>
              </w:tabs>
              <w:ind/>
              <w:jc w:val="both"/>
            </w:pPr>
            <w:r>
              <w:t xml:space="preserve">9.2. Заказчик, в течение срока, установленного </w:t>
            </w:r>
            <w:r>
              <w:t>извещением о проведении закупки, направляет лицу, с которым заключается договор (победителю закупки или единственному участнику закупки), проект договора, который составляется путем включения в исходный проект договора, прилагаемого к закупочной документац</w:t>
            </w:r>
            <w:r>
              <w:t>ии, условий исполнения договора, предложенных в заявке на участие в закупке лицом, с которым заключается договор.</w:t>
            </w:r>
            <w:bookmarkEnd w:id="9"/>
          </w:p>
          <w:p w14:paraId="63000000">
            <w:pPr>
              <w:tabs>
                <w:tab w:leader="none" w:pos="1416" w:val="left"/>
              </w:tabs>
              <w:ind/>
              <w:jc w:val="both"/>
            </w:pPr>
            <w:r>
              <w:t>9.3. Лицо, с которым заключается договор, в течение срока, установленного извещением о проведении закупки, обязано:</w:t>
            </w:r>
          </w:p>
          <w:p w14:paraId="64000000">
            <w:pPr>
              <w:numPr>
                <w:ilvl w:val="0"/>
                <w:numId w:val="11"/>
              </w:numPr>
              <w:ind w:firstLine="637" w:left="0"/>
              <w:jc w:val="both"/>
            </w:pPr>
            <w:r>
              <w:t>разместить с использование</w:t>
            </w:r>
            <w:r>
              <w:t>м программно-аппаратных средств ЭТП подписанный ЭП договор.</w:t>
            </w:r>
            <w:r>
              <w:rPr>
                <w:rFonts w:asciiTheme="minorAscii" w:hAnsiTheme="minorHAnsi"/>
                <w:sz w:val="22"/>
              </w:rPr>
              <w:t xml:space="preserve"> </w:t>
            </w:r>
            <w:r>
              <w:t>В случае наличия разногласий по проекту договора, направленному заказчиком, участник закупки составляет протокол разногласий с указанием замечаний к положениям проекта договора, не соответствующим</w:t>
            </w:r>
            <w:r>
              <w:t xml:space="preserve"> извещению, документации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ЭТП. Заказчик рассматривает протокол разногласий и направляет участ</w:t>
            </w:r>
            <w:r>
              <w:t>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14:paraId="65000000">
            <w:pPr>
              <w:numPr>
                <w:ilvl w:val="0"/>
                <w:numId w:val="11"/>
              </w:numPr>
              <w:ind w:firstLine="637" w:left="0"/>
              <w:jc w:val="both"/>
              <w:rPr>
                <w:spacing w:val="-6"/>
              </w:rPr>
            </w:pPr>
            <w:r>
              <w:t>предоставить заказчику сведения и документы, по</w:t>
            </w:r>
            <w:r>
              <w:t xml:space="preserve">дтверждающие соответствие требованиям, в том числе установленным на основании поручений Правительства Российской Федерации либо нормативных правовых актов федеральных органов исполнительной власти, указанные в пункте 2.1.1 части 1 закупочной документации, </w:t>
            </w:r>
            <w:r>
              <w:t>до подписания договора, если требовалось;</w:t>
            </w:r>
          </w:p>
          <w:p w14:paraId="66000000">
            <w:pPr>
              <w:ind w:firstLine="637" w:left="0"/>
              <w:jc w:val="both"/>
            </w:pPr>
            <w:r>
              <w:t>В отношении участников закупки, являющихся публичными акционерными обществами, акции которых котируются на бирже, или число акционеров которых превышает 50, сведения будут считаться предоставленными в полном объеме</w:t>
            </w:r>
            <w:r>
              <w:t xml:space="preserve">, если они будут содержать информацию об акционерах и бенефициарах (в том числе конечных), владеющих пакетами акций более 5%. Подтверждающие документы в отношении акционеров (бенефициаров) такой компании могут быть заменены прямой ссылкой на общедоступный </w:t>
            </w:r>
            <w:r>
              <w:t>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5%, допускается указание общей информации о количестве таких акционеров.</w:t>
            </w:r>
          </w:p>
          <w:p w14:paraId="67000000">
            <w:pPr>
              <w:ind w:firstLine="705" w:left="0"/>
              <w:jc w:val="both"/>
            </w:pPr>
            <w:r>
              <w:t xml:space="preserve">предоставить </w:t>
            </w:r>
            <w:r>
              <w:t>заказчику документы, обязательные к предоставлению до заключения договора и предусмотренные документацией и обязательствами, в соответствии с пунктом 5.1 настоящего раздела.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8000000">
            <w:pPr>
              <w:tabs>
                <w:tab w:leader="none" w:pos="786" w:val="left"/>
              </w:tabs>
              <w:ind/>
              <w:jc w:val="center"/>
            </w:pPr>
            <w:r>
              <w:t>10.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9000000">
            <w:pPr>
              <w:ind w:right="153"/>
              <w:rPr>
                <w:spacing w:val="-6"/>
              </w:rPr>
            </w:pPr>
            <w:r>
              <w:rPr>
                <w:spacing w:val="-6"/>
              </w:rPr>
              <w:t>Отказ заказчика от заключения договора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A000000">
            <w:pPr>
              <w:tabs>
                <w:tab w:leader="none" w:pos="1416" w:val="left"/>
              </w:tabs>
              <w:ind/>
              <w:jc w:val="both"/>
            </w:pPr>
            <w:bookmarkStart w:id="10" w:name="_Ref2179784"/>
            <w:r>
              <w:t xml:space="preserve">10.1. Отказ от заключения договора </w:t>
            </w:r>
            <w:r>
              <w:t>осуществляется по решению заказчика в соответствии с законодательством Российской Федерации при возникновении обстоятельств непреодолимой силы, подтвержденных соответствующим документом и влияющих на целесообразность закупки, либо при отсутствии информация</w:t>
            </w:r>
            <w:r>
              <w:t xml:space="preserve"> об участнике закупки в едином реестре субъектов малого и среднего предпринимательства.</w:t>
            </w:r>
            <w:bookmarkEnd w:id="10"/>
          </w:p>
          <w:p w14:paraId="6B000000">
            <w:pPr>
              <w:pStyle w:val="Style_3"/>
              <w:widowControl w:val="0"/>
              <w:tabs>
                <w:tab w:leader="none" w:pos="1416" w:val="left"/>
              </w:tabs>
              <w:spacing w:after="0" w:line="240" w:lineRule="auto"/>
              <w:ind w:firstLine="567" w:left="0"/>
              <w:contextualSpacing w:val="0"/>
              <w:jc w:val="both"/>
              <w:rPr>
                <w:b w:val="1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Извещение об отказе размещается на официальном сайте, ЭТП и в иных средствах массовой информации (в случае размещения).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C000000">
            <w:pPr>
              <w:tabs>
                <w:tab w:leader="none" w:pos="786" w:val="left"/>
              </w:tabs>
              <w:ind/>
              <w:jc w:val="center"/>
            </w:pPr>
            <w:r>
              <w:t>11.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D000000">
            <w:pPr>
              <w:ind w:right="153"/>
              <w:rPr>
                <w:spacing w:val="-6"/>
              </w:rPr>
            </w:pPr>
            <w:r>
              <w:rPr>
                <w:spacing w:val="-6"/>
              </w:rPr>
              <w:t>Обеспечение исполнения обязательств по дого</w:t>
            </w:r>
            <w:r>
              <w:rPr>
                <w:spacing w:val="-6"/>
              </w:rPr>
              <w:t>вору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6E000000">
            <w:pPr>
              <w:tabs>
                <w:tab w:leader="none" w:pos="1346" w:val="left"/>
              </w:tabs>
              <w:ind/>
              <w:jc w:val="both"/>
            </w:pPr>
            <w:bookmarkStart w:id="11" w:name="_Ref166350669"/>
            <w:r>
              <w:t xml:space="preserve">11.1. В случае, если указано в извещении о проведении закупки и проекте договора, лицо, с которым заключается договор, должно предоставить в порядке, предусмотренном извещением о проведении закупки и/или проектом договора, обеспечение исполнения </w:t>
            </w:r>
            <w:r>
              <w:t>обязательств по договору</w:t>
            </w:r>
            <w:bookmarkEnd w:id="11"/>
            <w:r>
              <w:t>.</w:t>
            </w:r>
          </w:p>
          <w:p w14:paraId="6F000000">
            <w:pPr>
              <w:tabs>
                <w:tab w:leader="none" w:pos="1346" w:val="left"/>
              </w:tabs>
              <w:ind/>
              <w:jc w:val="both"/>
            </w:pPr>
            <w:r>
              <w:t xml:space="preserve">11.2. Форма обеспечения исполнения обязательств по договору определяется лицом, с которым заключается договор, самостоятельно. </w:t>
            </w:r>
          </w:p>
          <w:p w14:paraId="70000000">
            <w:pPr>
              <w:tabs>
                <w:tab w:leader="none" w:pos="1346" w:val="left"/>
              </w:tabs>
              <w:ind/>
              <w:jc w:val="both"/>
            </w:pPr>
            <w:r>
              <w:t>11.3. Предоставление в качестве обеспечения исполнения обязательств по договору независимой гарантии о</w:t>
            </w:r>
            <w:r>
              <w:t>существляется в соответствии с положениями и требованиями законодательства о закупках.</w:t>
            </w:r>
          </w:p>
          <w:p w14:paraId="71000000">
            <w:pPr>
              <w:ind w:firstLine="637" w:left="0"/>
              <w:jc w:val="both"/>
              <w:rPr>
                <w:b w:val="1"/>
                <w:sz w:val="26"/>
              </w:rPr>
            </w:pPr>
            <w:r>
              <w:t>Гарант должен соответствовать требованиям, установленным положениями действующего законодательства о закупках, поручитель должен соответствовать требованиям приложения №</w:t>
            </w:r>
            <w:r>
              <w:t xml:space="preserve"> 11 к Стандарту, а также требованиям, предусмотренным проектом договора (часть 3 закупочной документации).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72000000">
            <w:pPr>
              <w:tabs>
                <w:tab w:leader="none" w:pos="786" w:val="left"/>
              </w:tabs>
              <w:ind/>
              <w:jc w:val="center"/>
            </w:pPr>
            <w:r>
              <w:t>12.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73000000">
            <w:pPr>
              <w:ind w:right="153"/>
              <w:jc w:val="both"/>
            </w:pPr>
            <w:r>
              <w:t>Последствия уклонения участника от заключения договора, случаи внесения сведений об участнике в реестр недобросовестных поставщиков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74000000">
            <w:pPr>
              <w:pStyle w:val="Style_4"/>
              <w:numPr>
                <w:ilvl w:val="1"/>
                <w:numId w:val="12"/>
              </w:numPr>
              <w:tabs>
                <w:tab w:leader="none" w:pos="1346" w:val="left"/>
              </w:tabs>
              <w:ind/>
              <w:jc w:val="both"/>
            </w:pPr>
            <w:r>
              <w:t>Лицо, с кото</w:t>
            </w:r>
            <w:r>
              <w:t xml:space="preserve">рым заключается договор, признается уклонившимся от заключения договора по основаниям, предусмотренным статьей 9.5 Стандарта. </w:t>
            </w:r>
          </w:p>
          <w:p w14:paraId="75000000">
            <w:pPr>
              <w:pStyle w:val="Style_4"/>
              <w:numPr>
                <w:ilvl w:val="1"/>
                <w:numId w:val="12"/>
              </w:numPr>
              <w:tabs>
                <w:tab w:leader="none" w:pos="1346" w:val="left"/>
              </w:tabs>
              <w:ind/>
              <w:jc w:val="both"/>
            </w:pPr>
            <w:r>
              <w:t>В случае уклонения лица, с которым заключается договор, от подписания договора:</w:t>
            </w:r>
          </w:p>
          <w:p w14:paraId="76000000">
            <w:pPr>
              <w:numPr>
                <w:ilvl w:val="0"/>
                <w:numId w:val="13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 xml:space="preserve">документ, подтверждающий факт уклонения лица, с </w:t>
            </w:r>
            <w:r>
              <w:t>которым заключается договор, указанный в части 2 статьи 9.5 Стандарта, размещается на ЭТП в качестве протокола признания участника уклонившимся от заключения договора;</w:t>
            </w:r>
          </w:p>
          <w:p w14:paraId="77000000">
            <w:pPr>
              <w:numPr>
                <w:ilvl w:val="0"/>
                <w:numId w:val="13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>удерживается обеспечение заявки такого участника закупки. Если обеспечение заявки такого</w:t>
            </w:r>
            <w:r>
              <w:t xml:space="preserve"> участника предоставлялось путем внесения денежных средств</w:t>
            </w:r>
            <w:r>
              <w:rPr>
                <w:rFonts w:asciiTheme="minorAscii" w:hAnsiTheme="minorHAnsi"/>
                <w:sz w:val="22"/>
              </w:rPr>
              <w:t xml:space="preserve"> </w:t>
            </w:r>
            <w:r>
              <w:t>на специальный счет, то после размещения сведений о признании участника уклонившимся от заключения договора, заблокированные на специальном счете денежные средства оператором ЭТП перечисляются по у</w:t>
            </w:r>
            <w:r>
              <w:t>казанным заказчиком реквизитам;</w:t>
            </w:r>
          </w:p>
          <w:p w14:paraId="78000000">
            <w:pPr>
              <w:numPr>
                <w:ilvl w:val="0"/>
                <w:numId w:val="13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 xml:space="preserve">заказчик направляет предложение о включении сведений о таком лице в соответствующий реестр недобросовестных поставщиков, ведущийся в соответствии с положениями Федерального закона от 18 июля 2011 года </w:t>
            </w:r>
            <w:r>
              <w:br/>
            </w:r>
            <w:r>
              <w:t>№ 223-ФЗ «О закупках т</w:t>
            </w:r>
            <w:r>
              <w:t>оваров, работ, услуг отдельными видами юридических лиц» в порядке и сроки, установленные постановлением Правительства Российской Федерации от 22 ноября 2012 года № 1211 «О ведении реестра недобросовестных поставщиков, предусмотренного Федеральным законом «</w:t>
            </w:r>
            <w:r>
              <w:t>О закупках товаров, работ, услуг отдельными видами юридических лиц».</w:t>
            </w:r>
          </w:p>
          <w:p w14:paraId="79000000">
            <w:pPr>
              <w:pStyle w:val="Style_4"/>
              <w:numPr>
                <w:ilvl w:val="1"/>
                <w:numId w:val="12"/>
              </w:numPr>
              <w:tabs>
                <w:tab w:leader="none" w:pos="1346" w:val="left"/>
              </w:tabs>
              <w:ind/>
              <w:jc w:val="both"/>
            </w:pPr>
            <w:r>
              <w:t>Сведения об участнике закупки вносятся в РНП сроком на 2 года в следующих случаях:</w:t>
            </w:r>
          </w:p>
          <w:p w14:paraId="7A000000">
            <w:pPr>
              <w:numPr>
                <w:ilvl w:val="0"/>
                <w:numId w:val="14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>если такой участник закупки:</w:t>
            </w:r>
          </w:p>
          <w:p w14:paraId="7B000000">
            <w:pPr>
              <w:pStyle w:val="Style_4"/>
              <w:numPr>
                <w:ilvl w:val="0"/>
                <w:numId w:val="15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>будучи признанным победителем закупки, уклонился от заключения договора;</w:t>
            </w:r>
          </w:p>
          <w:p w14:paraId="7C000000">
            <w:pPr>
              <w:pStyle w:val="Style_4"/>
              <w:numPr>
                <w:ilvl w:val="0"/>
                <w:numId w:val="15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>бу</w:t>
            </w:r>
            <w:r>
              <w:t>дучи единственным участником, с которым заказчиком принято решение о заключении договора, уклонился от заключения договора;</w:t>
            </w:r>
          </w:p>
          <w:p w14:paraId="7D000000">
            <w:pPr>
              <w:pStyle w:val="Style_4"/>
              <w:numPr>
                <w:ilvl w:val="0"/>
                <w:numId w:val="15"/>
              </w:numPr>
              <w:tabs>
                <w:tab w:leader="none" w:pos="1346" w:val="left"/>
              </w:tabs>
              <w:ind w:firstLine="637" w:left="0"/>
              <w:jc w:val="both"/>
            </w:pPr>
            <w:r>
              <w:t>будучи победителем закупки или единственным участником закупки, с которым заключается договор, отказался от предоставления обеспечен</w:t>
            </w:r>
            <w:r>
              <w:t>ия договора до подписания договора, если такое требование установлено в закупочной документации;</w:t>
            </w:r>
          </w:p>
          <w:p w14:paraId="7E000000">
            <w:pPr>
              <w:ind w:firstLine="637" w:left="0"/>
              <w:jc w:val="both"/>
            </w:pPr>
            <w:r>
              <w:t>если договор, заключенный с участником закупки по результатам закупки, расторгнут по решению суда в связи с существенным нарушением поставщиком условий договор</w:t>
            </w:r>
            <w:r>
              <w:t>а.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7F000000">
            <w:pPr>
              <w:tabs>
                <w:tab w:leader="none" w:pos="786" w:val="left"/>
              </w:tabs>
              <w:ind/>
              <w:jc w:val="center"/>
            </w:pPr>
            <w:r>
              <w:t>13.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80000000">
            <w:pPr>
              <w:ind w:right="153"/>
              <w:jc w:val="both"/>
              <w:rPr>
                <w:b w:val="1"/>
                <w:i w:val="1"/>
              </w:rPr>
            </w:pPr>
            <w:r>
              <w:t>Порядок обжалования действий заказчика, организатора, закупочной комиссии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81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>Подача жалобы в Арбитражный комитет осуществляется по адресу, указанному в извещении о проведении закупки, либо путем создания жалобы на странице закупки на официальном сайте</w:t>
            </w:r>
            <w:r>
              <w:t xml:space="preserve"> по закупкам атомной отрасли или на ЭТП (после реализации соответствующего функционала). </w:t>
            </w:r>
          </w:p>
          <w:p w14:paraId="82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>Порядок подачи и рассмотрения жалоб предусмотрены главой 10 Стандарта и приложением 6 к Стандарту.</w:t>
            </w:r>
          </w:p>
          <w:p w14:paraId="83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>При приостановке процедуры закупки до окончания срока подачи заявок</w:t>
            </w:r>
            <w:r>
              <w:t xml:space="preserve"> возможны следующие действия:</w:t>
            </w:r>
          </w:p>
          <w:p w14:paraId="84000000">
            <w:pPr>
              <w:pStyle w:val="Style_4"/>
              <w:numPr>
                <w:ilvl w:val="0"/>
                <w:numId w:val="15"/>
              </w:numPr>
              <w:tabs>
                <w:tab w:leader="none" w:pos="953" w:val="left"/>
              </w:tabs>
              <w:ind w:firstLine="637" w:left="0" w:right="153"/>
              <w:jc w:val="both"/>
            </w:pPr>
            <w:r>
              <w:t>направление запросов о даче разъяснений положений извещения о проведении закупки и/или закупочной документации, подача заявок до окончания срока подачи заявок – участником закупки (при этом участник закупки утрачивает свой ста</w:t>
            </w:r>
            <w:r>
              <w:t>тус после истечения срока подачи заявок, если он не подал заявку на участие в такой процедуре);</w:t>
            </w:r>
          </w:p>
          <w:p w14:paraId="85000000">
            <w:pPr>
              <w:pStyle w:val="Style_4"/>
              <w:numPr>
                <w:ilvl w:val="0"/>
                <w:numId w:val="15"/>
              </w:numPr>
              <w:tabs>
                <w:tab w:leader="none" w:pos="953" w:val="left"/>
              </w:tabs>
              <w:ind w:firstLine="637" w:left="0" w:right="153"/>
              <w:jc w:val="both"/>
            </w:pPr>
            <w:r>
              <w:t>размещение разъяснений положений закупочной документации, внесение изменений в извещение о проведении закупки и закупочную документацию в сроки, предусмотренные</w:t>
            </w:r>
            <w:r>
              <w:t xml:space="preserve"> пунктами 2, 3 настоящего раздела – организатором закупки.</w:t>
            </w:r>
          </w:p>
          <w:p w14:paraId="86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 xml:space="preserve">При поступлении жалобы после окончания срока подачи заявок действия по закупке не приостанавливаются, за исключением заключения договора. </w:t>
            </w:r>
          </w:p>
          <w:p w14:paraId="87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 xml:space="preserve">При возобновлении обжалуемой процедуры закупки, приостановленной до момента открытия доступа к заявкам, в случае отзыва жалобы или признания жалобы необоснованной, срок окончания подачи заявок на участие в закупке не изменяется. Если срок открытия доступа </w:t>
            </w:r>
            <w:r>
              <w:t xml:space="preserve">к заявкам уже истек, то открытие доступа к поданным заявкам происходит при </w:t>
            </w:r>
            <w:r>
              <w:t>возобновлении закупки. Заявки на участие в закупке, поданные в период с момента окончания срока подачи заявок до момента открытия доступа к поданным заявкам, к рассмотрению не прини</w:t>
            </w:r>
            <w:r>
              <w:t>маются.</w:t>
            </w:r>
          </w:p>
          <w:p w14:paraId="88000000">
            <w:pPr>
              <w:pStyle w:val="Style_4"/>
              <w:tabs>
                <w:tab w:leader="none" w:pos="615" w:val="left"/>
              </w:tabs>
              <w:ind w:firstLine="637" w:left="0" w:right="153"/>
              <w:jc w:val="both"/>
            </w:pPr>
            <w:r>
              <w:t>При возобновлении обжалуемого аукциона, если дата начала подачи участниками закупки предложений о цене договора (начала процедуры проведения аукциона) прошла, то такой датой назначается первый рабочий день после возобновления закупки.</w:t>
            </w:r>
          </w:p>
          <w:p w14:paraId="89000000">
            <w:pPr>
              <w:pStyle w:val="Style_4"/>
              <w:tabs>
                <w:tab w:leader="none" w:pos="615" w:val="left"/>
              </w:tabs>
              <w:ind w:firstLine="210" w:left="0" w:right="153"/>
              <w:jc w:val="both"/>
              <w:rPr>
                <w:b w:val="1"/>
                <w:sz w:val="26"/>
              </w:rPr>
            </w:pPr>
            <w:r>
              <w:t>При подаче жалоб в ЦАК или АК после размещения на официальном сайте и ЭТП протокола заседания комиссии по подведению итогов закупки (итогового протокола), действия по приостановке/возобновлению закупки не должны повлечь нарушение срока заключения договора.</w:t>
            </w:r>
          </w:p>
        </w:tc>
      </w:tr>
      <w:tr>
        <w:trPr>
          <w:trHeight w:hRule="atLeast" w:val="19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8A000000">
            <w:pPr>
              <w:tabs>
                <w:tab w:leader="none" w:pos="786" w:val="left"/>
              </w:tabs>
              <w:ind/>
              <w:jc w:val="center"/>
            </w:pPr>
            <w:r>
              <w:t>14.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8B000000">
            <w:pPr>
              <w:ind w:right="153"/>
              <w:jc w:val="both"/>
              <w:rPr>
                <w:b w:val="1"/>
                <w:i w:val="1"/>
              </w:rPr>
            </w:pPr>
            <w:r>
              <w:t>Каналы связи, по которым можно сообщить о фактах злоупотребления при проведении запроса котировок</w:t>
            </w:r>
          </w:p>
        </w:tc>
        <w:tc>
          <w:tcPr>
            <w:tcW w:type="dxa" w:w="12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2"/>
              <w:right w:type="dxa" w:w="72"/>
            </w:tcMar>
          </w:tcPr>
          <w:p w14:paraId="8C000000">
            <w:pPr>
              <w:ind w:right="153"/>
              <w:jc w:val="both"/>
            </w:pPr>
            <w:r>
              <w:t>О фактах злоупотреблений участник запроса котировок может заявить в Госкорпорацию «Росатом» и сообщить об этом гласно или анонимно, воспользовавшись сле</w:t>
            </w:r>
            <w:r>
              <w:t xml:space="preserve">дующими каналами связи: </w:t>
            </w:r>
          </w:p>
          <w:p w14:paraId="8D000000">
            <w:pPr>
              <w:tabs>
                <w:tab w:leader="none" w:pos="330" w:val="left"/>
              </w:tabs>
              <w:ind w:right="153"/>
              <w:jc w:val="both"/>
            </w:pPr>
            <w:r>
              <w:t>1.</w:t>
            </w:r>
            <w:r>
              <w:tab/>
            </w:r>
            <w:r>
              <w:t>Телефон «горячей линии»: 8-800-100-07-07 (многоканальный, круглосуточно, бесплатно из любой точки страны);</w:t>
            </w:r>
          </w:p>
          <w:p w14:paraId="8E000000">
            <w:pPr>
              <w:tabs>
                <w:tab w:leader="none" w:pos="360" w:val="left"/>
              </w:tabs>
              <w:ind w:right="153"/>
              <w:jc w:val="both"/>
            </w:pPr>
            <w:r>
              <w:t>2.</w:t>
            </w:r>
            <w:r>
              <w:tab/>
            </w:r>
            <w:r>
              <w:t>Адрес электронной почты: 0707@rosatom.ru;</w:t>
            </w:r>
          </w:p>
          <w:p w14:paraId="8F000000">
            <w:pPr>
              <w:tabs>
                <w:tab w:leader="none" w:pos="330" w:val="left"/>
              </w:tabs>
              <w:ind w:right="153"/>
              <w:jc w:val="both"/>
            </w:pPr>
            <w:r>
              <w:t>3.</w:t>
            </w:r>
            <w:r>
              <w:tab/>
            </w:r>
            <w:r>
              <w:t xml:space="preserve">Адрес для почтовых отправлений: 119017, Москва, а/я 226, Департамент </w:t>
            </w:r>
            <w:r>
              <w:t>защиты активов Госкорпорации «Росатом».</w:t>
            </w:r>
          </w:p>
        </w:tc>
      </w:tr>
    </w:tbl>
    <w:p w14:paraId="90000000"/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7"/>
      <w:numFmt w:val="decimal"/>
      <w:lvlText w:val="%1.%2."/>
      <w:lvlJc w:val="left"/>
      <w:pPr>
        <w:ind w:hanging="600" w:left="1320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720" w:left="216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080" w:left="3240"/>
      </w:pPr>
    </w:lvl>
    <w:lvl w:ilvl="6">
      <w:start w:val="1"/>
      <w:numFmt w:val="decimal"/>
      <w:lvlText w:val="%1.%2.%3.%4.%5.%6.%7."/>
      <w:lvlJc w:val="left"/>
      <w:pPr>
        <w:ind w:hanging="1440" w:left="3960"/>
      </w:pPr>
    </w:lvl>
    <w:lvl w:ilvl="7">
      <w:start w:val="1"/>
      <w:numFmt w:val="decimal"/>
      <w:lvlText w:val="%1.%2.%3.%4.%5.%6.%7.%8."/>
      <w:lvlJc w:val="left"/>
      <w:pPr>
        <w:ind w:hanging="1440" w:left="4320"/>
      </w:pPr>
    </w:lvl>
    <w:lvl w:ilvl="8">
      <w:start w:val="1"/>
      <w:numFmt w:val="decimal"/>
      <w:lvlText w:val="%1.%2.%3.%4.%5.%6.%7.%8.%9."/>
      <w:lvlJc w:val="left"/>
      <w:pPr>
        <w:ind w:hanging="1800" w:left="5040"/>
      </w:pPr>
    </w:lvl>
  </w:abstractNum>
  <w:abstractNum w:abstractNumId="1">
    <w:lvl w:ilvl="0">
      <w:start w:val="1"/>
      <w:numFmt w:val="decimal"/>
      <w:lvlText w:val="1.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927"/>
      </w:pPr>
    </w:lvl>
    <w:lvl w:ilvl="1">
      <w:start w:val="1"/>
      <w:numFmt w:val="decimal"/>
      <w:lvlText w:val="2.%2."/>
      <w:lvlJc w:val="left"/>
      <w:pPr>
        <w:ind w:hanging="360" w:left="927"/>
      </w:pPr>
    </w:lvl>
    <w:lvl w:ilvl="2">
      <w:start w:val="1"/>
      <w:numFmt w:val="decimal"/>
      <w:lvlText w:val="%1.%2.%3."/>
      <w:lvlJc w:val="left"/>
      <w:pPr>
        <w:ind w:hanging="720" w:left="1287"/>
      </w:pPr>
    </w:lvl>
    <w:lvl w:ilvl="3">
      <w:start w:val="1"/>
      <w:numFmt w:val="decimal"/>
      <w:lvlText w:val="%1.%2.%3.%4."/>
      <w:lvlJc w:val="left"/>
      <w:pPr>
        <w:ind w:hanging="720" w:left="1287"/>
      </w:pPr>
    </w:lvl>
    <w:lvl w:ilvl="4">
      <w:start w:val="1"/>
      <w:numFmt w:val="decimal"/>
      <w:lvlText w:val="%1.%2.%3.%4.%5."/>
      <w:lvlJc w:val="left"/>
      <w:pPr>
        <w:ind w:hanging="1080" w:left="1647"/>
      </w:pPr>
    </w:lvl>
    <w:lvl w:ilvl="5">
      <w:start w:val="1"/>
      <w:numFmt w:val="decimal"/>
      <w:lvlText w:val="%1.%2.%3.%4.%5.%6."/>
      <w:lvlJc w:val="left"/>
      <w:pPr>
        <w:ind w:hanging="1080" w:left="1647"/>
      </w:pPr>
    </w:lvl>
    <w:lvl w:ilvl="6">
      <w:start w:val="1"/>
      <w:numFmt w:val="decimal"/>
      <w:lvlText w:val="%1.%2.%3.%4.%5.%6.%7."/>
      <w:lvlJc w:val="left"/>
      <w:pPr>
        <w:ind w:hanging="1440" w:left="2007"/>
      </w:pPr>
    </w:lvl>
    <w:lvl w:ilvl="7">
      <w:start w:val="1"/>
      <w:numFmt w:val="decimal"/>
      <w:lvlText w:val="%1.%2.%3.%4.%5.%6.%7.%8."/>
      <w:lvlJc w:val="left"/>
      <w:pPr>
        <w:ind w:hanging="1440" w:left="2007"/>
      </w:pPr>
    </w:lvl>
    <w:lvl w:ilvl="8">
      <w:start w:val="1"/>
      <w:numFmt w:val="decimal"/>
      <w:lvlText w:val="%1.%2.%3.%4.%5.%6.%7.%8.%9."/>
      <w:lvlJc w:val="left"/>
      <w:pPr>
        <w:ind w:hanging="1800" w:left="2367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3.%2."/>
      <w:lvlJc w:val="left"/>
      <w:pPr>
        <w:ind w:hanging="360" w:left="925"/>
      </w:pPr>
    </w:lvl>
    <w:lvl w:ilvl="2">
      <w:start w:val="1"/>
      <w:numFmt w:val="decimal"/>
      <w:lvlText w:val="%1.%2.%3."/>
      <w:lvlJc w:val="left"/>
      <w:pPr>
        <w:ind w:hanging="720" w:left="1490"/>
      </w:pPr>
    </w:lvl>
    <w:lvl w:ilvl="3">
      <w:start w:val="1"/>
      <w:numFmt w:val="decimal"/>
      <w:lvlText w:val="%1.%2.%3.%4."/>
      <w:lvlJc w:val="left"/>
      <w:pPr>
        <w:ind w:hanging="720" w:left="1695"/>
      </w:pPr>
    </w:lvl>
    <w:lvl w:ilvl="4">
      <w:start w:val="1"/>
      <w:numFmt w:val="decimal"/>
      <w:lvlText w:val="%1.%2.%3.%4.%5."/>
      <w:lvlJc w:val="left"/>
      <w:pPr>
        <w:ind w:hanging="1080" w:left="2260"/>
      </w:pPr>
    </w:lvl>
    <w:lvl w:ilvl="5">
      <w:start w:val="1"/>
      <w:numFmt w:val="decimal"/>
      <w:lvlText w:val="%1.%2.%3.%4.%5.%6."/>
      <w:lvlJc w:val="left"/>
      <w:pPr>
        <w:ind w:hanging="1080" w:left="2465"/>
      </w:pPr>
    </w:lvl>
    <w:lvl w:ilvl="6">
      <w:start w:val="1"/>
      <w:numFmt w:val="decimal"/>
      <w:lvlText w:val="%1.%2.%3.%4.%5.%6.%7."/>
      <w:lvlJc w:val="left"/>
      <w:pPr>
        <w:ind w:hanging="1440" w:left="3030"/>
      </w:pPr>
    </w:lvl>
    <w:lvl w:ilvl="7">
      <w:start w:val="1"/>
      <w:numFmt w:val="decimal"/>
      <w:lvlText w:val="%1.%2.%3.%4.%5.%6.%7.%8."/>
      <w:lvlJc w:val="left"/>
      <w:pPr>
        <w:ind w:hanging="1440" w:left="3235"/>
      </w:pPr>
    </w:lvl>
    <w:lvl w:ilvl="8">
      <w:start w:val="1"/>
      <w:numFmt w:val="decimal"/>
      <w:lvlText w:val="%1.%2.%3.%4.%5.%6.%7.%8.%9."/>
      <w:lvlJc w:val="left"/>
      <w:pPr>
        <w:ind w:hanging="1800" w:left="3800"/>
      </w:pPr>
    </w:lvl>
  </w:abstractNum>
  <w:abstractNum w:abstractNumId="4">
    <w:lvl w:ilvl="0">
      <w:start w:val="1"/>
      <w:numFmt w:val="decimal"/>
      <w:lvlText w:val="4.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decimal"/>
      <w:lvlText w:val="5.%1."/>
      <w:lvlJc w:val="left"/>
      <w:pPr>
        <w:ind w:hanging="360" w:left="1286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decimal"/>
      <w:lvlText w:val="6.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lvl w:ilvl="0">
      <w:start w:val="1"/>
      <w:numFmt w:val="russianLower"/>
      <w:lvlText w:val="%1)"/>
      <w:lvlJc w:val="left"/>
      <w:pPr>
        <w:ind w:hanging="360" w:left="1287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2007"/>
      </w:pPr>
    </w:lvl>
    <w:lvl w:ilvl="2">
      <w:start w:val="1"/>
      <w:numFmt w:val="lowerRoman"/>
      <w:lvlText w:val="%3."/>
      <w:lvlJc w:val="right"/>
      <w:pPr>
        <w:ind w:hanging="180" w:left="2727"/>
      </w:pPr>
    </w:lvl>
    <w:lvl w:ilvl="3">
      <w:start w:val="1"/>
      <w:numFmt w:val="decimal"/>
      <w:lvlText w:val="%4."/>
      <w:lvlJc w:val="left"/>
      <w:pPr>
        <w:ind w:hanging="360" w:left="3447"/>
      </w:pPr>
    </w:lvl>
    <w:lvl w:ilvl="4">
      <w:start w:val="1"/>
      <w:numFmt w:val="lowerLetter"/>
      <w:lvlText w:val="%5."/>
      <w:lvlJc w:val="left"/>
      <w:pPr>
        <w:ind w:hanging="360" w:left="4167"/>
      </w:pPr>
    </w:lvl>
    <w:lvl w:ilvl="5">
      <w:start w:val="1"/>
      <w:numFmt w:val="lowerRoman"/>
      <w:lvlText w:val="%6."/>
      <w:lvlJc w:val="right"/>
      <w:pPr>
        <w:ind w:hanging="180" w:left="4887"/>
      </w:pPr>
    </w:lvl>
    <w:lvl w:ilvl="6">
      <w:start w:val="1"/>
      <w:numFmt w:val="decimal"/>
      <w:lvlText w:val="%7."/>
      <w:lvlJc w:val="left"/>
      <w:pPr>
        <w:ind w:hanging="360" w:left="5607"/>
      </w:pPr>
    </w:lvl>
    <w:lvl w:ilvl="7">
      <w:start w:val="1"/>
      <w:numFmt w:val="lowerLetter"/>
      <w:lvlText w:val="%8."/>
      <w:lvlJc w:val="left"/>
      <w:pPr>
        <w:ind w:hanging="360" w:left="6327"/>
      </w:pPr>
    </w:lvl>
    <w:lvl w:ilvl="8">
      <w:start w:val="1"/>
      <w:numFmt w:val="lowerRoman"/>
      <w:lvlText w:val="%9."/>
      <w:lvlJc w:val="right"/>
      <w:pPr>
        <w:ind w:hanging="180" w:left="7047"/>
      </w:pPr>
    </w:lvl>
  </w:abstractNum>
  <w:abstractNum w:abstractNumId="8">
    <w:lvl w:ilvl="0">
      <w:start w:val="1"/>
      <w:numFmt w:val="decimal"/>
      <w:lvlText w:val="7.%1."/>
      <w:lvlJc w:val="left"/>
      <w:pPr>
        <w:ind w:hanging="360" w:left="72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lvl w:ilvl="0">
      <w:start w:val="1"/>
      <w:numFmt w:val="russianLower"/>
      <w:lvlText w:val="%1)"/>
      <w:lvlJc w:val="left"/>
      <w:pPr>
        <w:ind w:hanging="360" w:left="1074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0">
    <w:lvl w:ilvl="0">
      <w:start w:val="1"/>
      <w:numFmt w:val="russianLower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1">
    <w:lvl w:ilvl="0">
      <w:start w:val="12"/>
      <w:numFmt w:val="decimal"/>
      <w:lvlText w:val="%1."/>
      <w:lvlJc w:val="left"/>
      <w:pPr>
        <w:ind w:hanging="480" w:left="480"/>
      </w:pPr>
    </w:lvl>
    <w:lvl w:ilvl="1">
      <w:start w:val="1"/>
      <w:numFmt w:val="decimal"/>
      <w:lvlText w:val="%1.%2."/>
      <w:lvlJc w:val="left"/>
      <w:pPr>
        <w:ind w:hanging="480" w:left="48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720" w:left="72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080" w:left="108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440" w:left="144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:abstractNumId="12">
    <w:lvl w:ilvl="0">
      <w:start w:val="1"/>
      <w:numFmt w:val="russianLower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3">
    <w:lvl w:ilvl="0">
      <w:start w:val="1"/>
      <w:numFmt w:val="russianLower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4">
    <w:lvl w:ilvl="0">
      <w:start w:val="1"/>
      <w:numFmt w:val="bullet"/>
      <w:lvlText w:val=""/>
      <w:lvlJc w:val="left"/>
      <w:pPr>
        <w:ind w:hanging="360" w:left="107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9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1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3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5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7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9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1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34"/>
      </w:pPr>
      <w:rPr>
        <w:rFonts w:ascii="Wingdings" w:hAnsi="Wingdings"/>
      </w:rPr>
    </w:lvl>
  </w:abstractNum>
  <w:abstractNum w:abstractNumId="15">
    <w:lvl w:ilvl="0">
      <w:start w:val="1"/>
      <w:numFmt w:val="decimal"/>
      <w:pStyle w:val="Style_17"/>
      <w:lvlText w:val="%1."/>
      <w:lvlJc w:val="left"/>
      <w:pPr>
        <w:tabs>
          <w:tab w:leader="none" w:pos="1134" w:val="left"/>
        </w:tabs>
        <w:ind w:hanging="1134" w:left="1134"/>
      </w:pPr>
    </w:lvl>
    <w:lvl w:ilvl="1">
      <w:start w:val="1"/>
      <w:numFmt w:val="decimal"/>
      <w:pStyle w:val="Style_31"/>
      <w:lvlText w:val="%1.%2"/>
      <w:lvlJc w:val="left"/>
      <w:pPr>
        <w:tabs>
          <w:tab w:leader="none" w:pos="1134" w:val="left"/>
        </w:tabs>
        <w:ind w:hanging="1134" w:left="1134"/>
      </w:pPr>
    </w:lvl>
    <w:lvl w:ilvl="2">
      <w:start w:val="1"/>
      <w:numFmt w:val="decimal"/>
      <w:pStyle w:val="Style_14"/>
      <w:lvlText w:val="%1.%2.%3"/>
      <w:lvlJc w:val="left"/>
      <w:pPr>
        <w:tabs>
          <w:tab w:leader="none" w:pos="1134" w:val="left"/>
        </w:tabs>
        <w:ind w:hanging="1134" w:left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leader="none" w:pos="1134" w:val="left"/>
        </w:tabs>
        <w:ind w:hanging="1134" w:left="1134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leader="none" w:pos="1701" w:val="left"/>
        </w:tabs>
        <w:ind w:hanging="567" w:left="1701"/>
      </w:pPr>
    </w:lvl>
    <w:lvl w:ilvl="5">
      <w:start w:val="1"/>
      <w:numFmt w:val="decimal"/>
      <w:lvlText w:val="%1.%2.%3.%4.%5.%6."/>
      <w:lvlJc w:val="left"/>
      <w:pPr>
        <w:tabs>
          <w:tab w:leader="none" w:pos="396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468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540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6120" w:val="left"/>
        </w:tabs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Normal (Web)"/>
    <w:basedOn w:val="Style_5"/>
    <w:link w:val="Style_4_ch"/>
    <w:pPr>
      <w:spacing w:afterAutospacing="on" w:beforeAutospacing="on"/>
      <w:ind/>
    </w:pPr>
  </w:style>
  <w:style w:styleId="Style_4_ch" w:type="character">
    <w:name w:val="Normal (Web)"/>
    <w:basedOn w:val="Style_5_ch"/>
    <w:link w:val="Style_4"/>
  </w:style>
  <w:style w:styleId="Style_12" w:type="paragraph">
    <w:name w:val="header"/>
    <w:basedOn w:val="Style_5"/>
    <w:link w:val="Style_12_ch"/>
    <w:pPr>
      <w:tabs>
        <w:tab w:leader="none" w:pos="4153" w:val="center"/>
        <w:tab w:leader="none" w:pos="8306" w:val="right"/>
      </w:tabs>
      <w:ind/>
    </w:pPr>
    <w:rPr>
      <w:rFonts w:ascii="Courier New" w:hAnsi="Courier New"/>
      <w:sz w:val="20"/>
    </w:rPr>
  </w:style>
  <w:style w:styleId="Style_12_ch" w:type="character">
    <w:name w:val="header"/>
    <w:basedOn w:val="Style_5_ch"/>
    <w:link w:val="Style_12"/>
    <w:rPr>
      <w:rFonts w:ascii="Courier New" w:hAnsi="Courier New"/>
      <w:sz w:val="20"/>
    </w:rPr>
  </w:style>
  <w:style w:styleId="Style_2" w:type="paragraph">
    <w:name w:val="Times 12"/>
    <w:basedOn w:val="Style_5"/>
    <w:link w:val="Style_2_ch"/>
    <w:pPr>
      <w:ind w:firstLine="567" w:left="0"/>
      <w:jc w:val="both"/>
    </w:pPr>
  </w:style>
  <w:style w:styleId="Style_2_ch" w:type="character">
    <w:name w:val="Times 12"/>
    <w:basedOn w:val="Style_5_ch"/>
    <w:link w:val="Style_2"/>
  </w:style>
  <w:style w:styleId="Style_13" w:type="paragraph">
    <w:name w:val="toc 3"/>
    <w:next w:val="Style_5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Пункт"/>
    <w:basedOn w:val="Style_5"/>
    <w:link w:val="Style_14_ch"/>
    <w:pPr>
      <w:numPr>
        <w:ilvl w:val="2"/>
        <w:numId w:val="16"/>
      </w:numPr>
      <w:spacing w:line="360" w:lineRule="auto"/>
      <w:ind/>
      <w:jc w:val="both"/>
    </w:pPr>
    <w:rPr>
      <w:sz w:val="28"/>
    </w:rPr>
  </w:style>
  <w:style w:styleId="Style_14_ch" w:type="character">
    <w:name w:val="Пункт"/>
    <w:basedOn w:val="Style_5_ch"/>
    <w:link w:val="Style_14"/>
    <w:rPr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heading 1"/>
    <w:basedOn w:val="Style_5"/>
    <w:next w:val="Style_5"/>
    <w:link w:val="Style_17_ch"/>
    <w:uiPriority w:val="9"/>
    <w:qFormat/>
    <w:pPr>
      <w:keepNext w:val="1"/>
      <w:numPr>
        <w:numId w:val="16"/>
      </w:numPr>
      <w:ind/>
      <w:jc w:val="right"/>
      <w:outlineLvl w:val="0"/>
    </w:pPr>
  </w:style>
  <w:style w:styleId="Style_17_ch" w:type="character">
    <w:name w:val="heading 1"/>
    <w:basedOn w:val="Style_5_ch"/>
    <w:link w:val="Style_17"/>
  </w:style>
  <w:style w:styleId="Style_18" w:type="paragraph">
    <w:name w:val="Обычный1"/>
    <w:link w:val="Style_18_ch"/>
    <w:rPr>
      <w:rFonts w:ascii="Times New Roman" w:hAnsi="Times New Roman"/>
      <w:sz w:val="24"/>
    </w:rPr>
  </w:style>
  <w:style w:styleId="Style_18_ch" w:type="character">
    <w:name w:val="Обычный1"/>
    <w:link w:val="Style_18"/>
    <w:rPr>
      <w:rFonts w:ascii="Times New Roman" w:hAnsi="Times New Roman"/>
      <w:sz w:val="24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9"/>
    <w:next w:val="Style_5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5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toc 5"/>
    <w:next w:val="Style_5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_ch" w:type="character">
    <w:name w:val="List Paragraph"/>
    <w:basedOn w:val="Style_5_ch"/>
    <w:link w:val="Style_3"/>
    <w:rPr>
      <w:rFonts w:ascii="Calibri" w:hAnsi="Calibri"/>
      <w:sz w:val="22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5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basedOn w:val="Style_5"/>
    <w:next w:val="Style_5"/>
    <w:link w:val="Style_31_ch"/>
    <w:uiPriority w:val="9"/>
    <w:qFormat/>
    <w:pPr>
      <w:keepNext w:val="1"/>
      <w:numPr>
        <w:ilvl w:val="1"/>
        <w:numId w:val="16"/>
      </w:numPr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1_ch" w:type="character">
    <w:name w:val="heading 2"/>
    <w:basedOn w:val="Style_5_ch"/>
    <w:link w:val="Style_31"/>
    <w:rPr>
      <w:rFonts w:ascii="Arial" w:hAnsi="Arial"/>
      <w:b w:val="1"/>
      <w:i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2026-08-04T05:36:08Z</dcterms:modified>
</cp:coreProperties>
</file>