
<file path=[Content_Types].xml><?xml version="1.0" encoding="utf-8"?>
<Types xmlns="http://schemas.openxmlformats.org/package/2006/content-types">
  <Default Extension="xlsx" ContentType="application/vnd.openxmlformats-officedocument.spreadsheetml.sheet"/>
  <Default Extension="wmf" ContentType="image/x-wmf"/>
  <Default Extension="png" ContentType="image/png"/>
  <Default Extension="jpeg" ContentType="image/jpeg"/>
  <Default Extension="emf" ContentType="image/x-emf"/>
  <Default Extension="xml" ContentType="application/xml"/>
  <Default Extension="rels" ContentType="application/vnd.openxmlformats-package.relationships+xml"/>
  <Default Extension="bin" ContentType="application/vnd.openxmlformats-officedocument.oleObject"/>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numbering.xml" ContentType="application/vnd.openxmlformats-officedocument.wordprocessingml.numbering+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suppressLineNumbers/>
        <w:jc w:val="right"/>
        <w:rPr>
          <w:rFonts w:cs="Mangal"/>
          <w:bCs/>
          <w:iCs/>
          <w:lang w:eastAsia="zh-CN"/>
        </w:rPr>
      </w:pPr>
      <w:r>
        <w:rPr>
          <w:rFonts w:cs="Mangal"/>
          <w:iCs/>
          <w:sz w:val="22"/>
          <w:szCs w:val="22"/>
          <w:lang w:eastAsia="zh-CN"/>
        </w:rPr>
        <w:t xml:space="preserve">Приложение № </w:t>
      </w:r>
      <w:r>
        <w:rPr>
          <w:rFonts w:cs="Mangal"/>
          <w:iCs/>
          <w:sz w:val="22"/>
          <w:szCs w:val="22"/>
          <w:lang w:eastAsia="zh-CN"/>
        </w:rPr>
        <w:t xml:space="preserve">7</w:t>
      </w:r>
    </w:p>
    <w:p>
      <w:pPr>
        <w:suppressLineNumbers/>
        <w:jc w:val="right"/>
        <w:rPr>
          <w:sz w:val="20"/>
          <w:szCs w:val="20"/>
        </w:rPr>
      </w:pPr>
      <w:r>
        <w:rPr>
          <w:rFonts w:cs="Mangal"/>
          <w:iCs/>
          <w:sz w:val="22"/>
          <w:szCs w:val="22"/>
          <w:lang w:eastAsia="zh-CN"/>
        </w:rPr>
        <w:t xml:space="preserve">к договору </w:t>
      </w:r>
      <w:r>
        <w:rPr>
          <w:rFonts w:cs="Mangal"/>
          <w:iCs/>
          <w:sz w:val="22"/>
          <w:szCs w:val="22"/>
          <w:lang w:eastAsia="zh-CN"/>
        </w:rPr>
        <w:t xml:space="preserve">№ </w:t>
      </w:r>
    </w:p>
    <w:p>
      <w:pPr>
        <w:suppressLineNumbers/>
        <w:jc w:val="right"/>
        <w:rPr>
          <w:rFonts w:cs="Mangal"/>
          <w:bCs/>
          <w:iCs/>
          <w:lang w:eastAsia="zh-CN"/>
        </w:rPr>
      </w:pPr>
      <w:r>
        <w:rPr>
          <w:rFonts w:cs="Mangal"/>
          <w:iCs/>
          <w:sz w:val="22"/>
          <w:szCs w:val="22"/>
          <w:lang w:eastAsia="zh-CN"/>
        </w:rPr>
        <w:t xml:space="preserve">от «</w:t>
      </w:r>
      <w:r>
        <w:rPr>
          <w:rFonts w:cs="Mangal"/>
          <w:iCs/>
          <w:sz w:val="22"/>
          <w:szCs w:val="22"/>
          <w:lang w:eastAsia="zh-CN"/>
        </w:rPr>
        <w:t xml:space="preserve">__» ______________2023г.</w:t>
      </w:r>
    </w:p>
    <w:p>
      <w:pPr>
        <w:spacing w:before="120" w:after="120"/>
        <w:ind w:firstLine="709"/>
        <w:jc w:val="center"/>
        <w:rPr>
          <w:b/>
          <w:bCs/>
          <w:sz w:val="28"/>
          <w:szCs w:val="28"/>
        </w:rPr>
      </w:pPr>
    </w:p>
    <w:p>
      <w:pPr>
        <w:spacing w:before="120" w:after="120"/>
        <w:ind w:firstLine="709"/>
        <w:jc w:val="center"/>
        <w:rPr>
          <w:b/>
          <w:bCs/>
          <w:sz w:val="28"/>
          <w:szCs w:val="28"/>
        </w:rPr>
      </w:pPr>
    </w:p>
    <w:p>
      <w:pPr>
        <w:spacing w:before="120" w:after="120"/>
        <w:ind w:firstLine="709"/>
        <w:jc w:val="center"/>
        <w:rPr>
          <w:b/>
          <w:bCs/>
          <w:sz w:val="28"/>
          <w:szCs w:val="28"/>
        </w:rPr>
      </w:pPr>
    </w:p>
    <w:p>
      <w:pPr>
        <w:spacing w:before="120" w:after="120"/>
        <w:ind w:firstLine="709"/>
        <w:jc w:val="center"/>
        <w:rPr>
          <w:b/>
          <w:bCs/>
          <w:sz w:val="28"/>
          <w:szCs w:val="28"/>
        </w:rPr>
      </w:pPr>
    </w:p>
    <w:p>
      <w:pPr>
        <w:spacing w:before="120" w:after="120"/>
        <w:contextualSpacing/>
        <w:jc w:val="center"/>
        <w:rPr>
          <w:b/>
          <w:bCs/>
          <w:sz w:val="28"/>
          <w:szCs w:val="28"/>
        </w:rPr>
      </w:pPr>
    </w:p>
    <w:p>
      <w:pPr>
        <w:spacing w:before="120" w:after="120"/>
        <w:contextualSpacing/>
        <w:jc w:val="center"/>
        <w:rPr>
          <w:b/>
          <w:bCs/>
          <w:sz w:val="28"/>
          <w:szCs w:val="28"/>
        </w:rPr>
      </w:pPr>
      <w:r>
        <w:rPr>
          <w:b/>
          <w:bCs/>
          <w:sz w:val="28"/>
          <w:szCs w:val="28"/>
        </w:rPr>
        <w:t xml:space="preserve">МЕТОДИКА </w:t>
      </w:r>
    </w:p>
    <w:p>
      <w:pPr>
        <w:spacing w:before="120" w:after="120"/>
        <w:contextualSpacing/>
        <w:jc w:val="center"/>
        <w:rPr>
          <w:b/>
          <w:bCs/>
          <w:sz w:val="28"/>
          <w:szCs w:val="28"/>
        </w:rPr>
      </w:pPr>
    </w:p>
    <w:p>
      <w:pPr>
        <w:spacing w:before="120" w:after="120"/>
        <w:contextualSpacing/>
        <w:jc w:val="center"/>
        <w:rPr>
          <w:b/>
          <w:bCs/>
          <w:sz w:val="28"/>
          <w:szCs w:val="28"/>
        </w:rPr>
      </w:pPr>
      <w:r>
        <w:rPr>
          <w:b/>
          <w:bCs/>
          <w:sz w:val="28"/>
          <w:szCs w:val="28"/>
        </w:rPr>
        <w:t xml:space="preserve"> «Учет аварий и нарушений в работе энергооборудования, </w:t>
      </w:r>
      <w:r>
        <w:rPr>
          <w:b/>
          <w:bCs/>
          <w:sz w:val="28"/>
          <w:szCs w:val="28"/>
        </w:rPr>
        <w:br/>
        <w:t xml:space="preserve">и расчет экономического ущерба от них</w:t>
      </w:r>
      <w:r>
        <w:rPr>
          <w:b/>
          <w:bCs/>
          <w:sz w:val="28"/>
          <w:szCs w:val="28"/>
        </w:rPr>
        <w:t xml:space="preserve"> в филиалах АО «Интер РАО – </w:t>
      </w:r>
      <w:r>
        <w:rPr>
          <w:b/>
          <w:bCs/>
          <w:sz w:val="28"/>
          <w:szCs w:val="28"/>
        </w:rPr>
        <w:t xml:space="preserve">Электрогенерация</w:t>
      </w:r>
      <w:r>
        <w:rPr>
          <w:b/>
          <w:bCs/>
          <w:sz w:val="28"/>
          <w:szCs w:val="28"/>
        </w:rPr>
        <w:t xml:space="preserve">»</w:t>
      </w:r>
    </w:p>
    <w:p>
      <w:pPr>
        <w:spacing w:before="120" w:after="120"/>
        <w:contextualSpacing/>
        <w:jc w:val="center"/>
        <w:rPr>
          <w:b/>
          <w:bCs/>
          <w:sz w:val="28"/>
          <w:szCs w:val="28"/>
        </w:rPr>
      </w:pPr>
    </w:p>
    <w:p>
      <w:pPr>
        <w:spacing w:before="120" w:after="120"/>
        <w:jc w:val="center"/>
        <w:rPr>
          <w:b/>
          <w:bCs/>
          <w:sz w:val="28"/>
          <w:szCs w:val="28"/>
        </w:rPr>
      </w:pPr>
      <w:r>
        <w:rPr>
          <w:b/>
          <w:bCs/>
          <w:sz w:val="28"/>
          <w:szCs w:val="28"/>
        </w:rPr>
        <w:t xml:space="preserve">МТ-039-3</w:t>
      </w: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p>
      <w:pPr>
        <w:spacing w:before="120" w:after="120"/>
        <w:ind w:firstLine="709"/>
        <w:jc w:val="center"/>
        <w:rPr>
          <w:b/>
          <w:bCs/>
          <w:iCs/>
        </w:rPr>
      </w:pPr>
    </w:p>
    <w:tbl>
      <w:tblPr>
        <w:tblW w:w="9323"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2944"/>
        <w:gridCol w:w="6379"/>
      </w:tblGrid>
      <w:tr>
        <w:trPr>
          <w:trHeight w:val="284"/>
          <w:tblHeader/>
        </w:trPr>
        <w:tc>
          <w:tcPr>
            <w:tcW w:w="2944" w:type="dxa"/>
            <w:shd w:val="clear" w:color="auto" w:fill="d9d9d9"/>
            <w:vAlign w:val="center"/>
          </w:tcPr>
          <w:p>
            <w:pPr>
              <w:pStyle w:val="m0"/>
              <w:jc w:val="left"/>
              <w:rPr>
                <w:sz w:val="24"/>
                <w:highlight w:val="yellow"/>
              </w:rPr>
            </w:pPr>
            <w:r>
              <w:rPr>
                <w:sz w:val="24"/>
              </w:rPr>
              <w:t xml:space="preserve">Ответственный за применение ВНД</w:t>
            </w:r>
          </w:p>
        </w:tc>
        <w:tc>
          <w:tcPr>
            <w:tcW w:w="6379" w:type="dxa"/>
            <w:shd w:val="clear" w:color="auto" w:fill="ffffff"/>
            <w:vAlign w:val="center"/>
          </w:tcPr>
          <w:p>
            <w:pPr>
              <w:pStyle w:val="m0"/>
              <w:jc w:val="both"/>
            </w:pPr>
            <w:r>
              <w:rPr>
                <w:b w:val="0"/>
                <w:sz w:val="24"/>
              </w:rPr>
              <w:t xml:space="preserve">Заместитель Генерального директора – Главный инженер</w:t>
            </w:r>
            <w:r>
              <w:rPr>
                <w:b w:val="0"/>
                <w:sz w:val="24"/>
              </w:rPr>
              <w:t xml:space="preserve"> ООО «Интер РАО – Управление </w:t>
            </w:r>
            <w:r>
              <w:rPr>
                <w:b w:val="0"/>
                <w:sz w:val="24"/>
              </w:rPr>
              <w:t xml:space="preserve">электрогенерацией</w:t>
            </w:r>
            <w:r>
              <w:rPr>
                <w:b w:val="0"/>
                <w:sz w:val="24"/>
              </w:rPr>
              <w:t xml:space="preserve">»</w:t>
            </w:r>
          </w:p>
        </w:tc>
      </w:tr>
      <w:tr>
        <w:trPr>
          <w:trHeight w:val="284"/>
          <w:tblHeader/>
        </w:trPr>
        <w:tc>
          <w:tcPr>
            <w:tcW w:w="2944" w:type="dxa"/>
            <w:shd w:val="clear" w:color="auto" w:fill="d9d9d9"/>
            <w:vAlign w:val="center"/>
          </w:tcPr>
          <w:p>
            <w:pPr>
              <w:pStyle w:val="m0"/>
              <w:jc w:val="left"/>
              <w:rPr>
                <w:sz w:val="24"/>
                <w:highlight w:val="yellow"/>
              </w:rPr>
            </w:pPr>
            <w:r>
              <w:rPr>
                <w:sz w:val="24"/>
              </w:rPr>
              <w:t xml:space="preserve">Владелец документа</w:t>
            </w:r>
          </w:p>
        </w:tc>
        <w:tc>
          <w:tcPr>
            <w:tcW w:w="6379" w:type="dxa"/>
            <w:shd w:val="clear" w:color="auto" w:fill="ffffff"/>
            <w:vAlign w:val="center"/>
          </w:tcPr>
          <w:p>
            <w:pPr>
              <w:pStyle w:val="m0"/>
              <w:jc w:val="both"/>
              <w:rPr>
                <w:b w:val="0"/>
              </w:rPr>
            </w:pPr>
            <w:r>
              <w:rPr>
                <w:b w:val="0"/>
                <w:sz w:val="24"/>
              </w:rPr>
              <w:t xml:space="preserve">ПАО «Интер РАО» / Блок производственной деятельности/ Департамент производственного контроля и технического аудита/ руководитель Департамента</w:t>
            </w:r>
          </w:p>
        </w:tc>
      </w:tr>
    </w:tbl>
    <w:p>
      <w:pPr>
        <w:spacing w:before="120" w:after="120"/>
        <w:ind w:firstLine="709"/>
        <w:jc w:val="center"/>
        <w:rPr>
          <w:b/>
          <w:bCs/>
          <w:iCs/>
        </w:rPr>
      </w:pPr>
    </w:p>
    <w:p>
      <w:pPr>
        <w:spacing w:before="120" w:after="120"/>
        <w:ind w:firstLine="709"/>
        <w:jc w:val="center"/>
        <w:rPr>
          <w:b/>
          <w:bCs/>
          <w:iCs/>
        </w:rPr>
      </w:pPr>
      <w:r>
        <w:rPr>
          <w:b/>
          <w:bCs/>
          <w:iCs/>
        </w:rPr>
        <w:t xml:space="preserve"> </w:t>
      </w:r>
    </w:p>
    <w:p>
      <w:pPr>
        <w:spacing w:before="120" w:after="120"/>
        <w:ind w:firstLine="709"/>
        <w:sectPr>
          <w:headerReference w:type="first" r:id="rId9"/>
          <w:footerReference w:type="first" r:id="rId15"/>
          <w:pgSz w:w="11906" w:h="16838"/>
          <w:pgMar w:top="1418" w:right="737" w:bottom="1134" w:left="1701" w:header="708" w:footer="708" w:gutter="0"/>
          <w:cols w:space="708"/>
          <w:docGrid w:linePitch="360"/>
          <w:titlePg/>
        </w:sectPr>
      </w:pPr>
    </w:p>
    <w:p>
      <w:pPr>
        <w:pStyle w:val="aff7"/>
        <w:spacing w:before="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Содержание</w:t>
      </w:r>
    </w:p>
    <w:p>
      <w:pPr>
        <w:pStyle w:val="12"/>
        <w:rPr>
          <w:rFonts w:asciiTheme="minorHAnsi" w:hAnsiTheme="minorHAnsi" w:eastAsiaTheme="minorEastAsia" w:cstheme="minorBidi"/>
          <w:sz w:val="22"/>
          <w:szCs w:val="22"/>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anchor="_Toc10707068" w:history="1">
        <w:r>
          <w:rPr>
            <w:rStyle w:val="af1"/>
            <w:rFonts w:ascii="Arial" w:hAnsi="Arial" w:cs="Arial"/>
          </w:rPr>
          <w:t xml:space="preserve">1.</w:t>
        </w:r>
        <w:r>
          <w:rPr>
            <w:rFonts w:asciiTheme="minorHAnsi" w:hAnsiTheme="minorHAnsi" w:eastAsiaTheme="minorEastAsia" w:cstheme="minorBidi"/>
            <w:sz w:val="22"/>
            <w:szCs w:val="22"/>
          </w:rPr>
          <w:tab/>
        </w:r>
        <w:r>
          <w:rPr>
            <w:rStyle w:val="af1"/>
          </w:rPr>
          <w:t xml:space="preserve">ИНФОРМАЦИЯ О ДОКУМЕНТЕ</w:t>
        </w:r>
        <w:r>
          <w:tab/>
        </w:r>
        <w:r>
          <w:fldChar w:fldCharType="begin"/>
        </w:r>
        <w:r>
          <w:instrText xml:space="preserve"> PAGEREF _Toc10707068 \h </w:instrText>
        </w:r>
        <w:r/>
        <w:r>
          <w:fldChar w:fldCharType="separate"/>
        </w:r>
        <w:r>
          <w:t xml:space="preserve">3</w:t>
        </w:r>
        <w:r>
          <w:fldChar w:fldCharType="end"/>
        </w:r>
      </w:hyperlink>
    </w:p>
    <w:p>
      <w:pPr>
        <w:pStyle w:val="12"/>
        <w:rPr>
          <w:rFonts w:asciiTheme="minorHAnsi" w:hAnsiTheme="minorHAnsi" w:eastAsiaTheme="minorEastAsia" w:cstheme="minorBidi"/>
          <w:sz w:val="22"/>
          <w:szCs w:val="22"/>
        </w:rPr>
      </w:pPr>
      <w:hyperlink w:anchor="_Toc10707069" w:history="1">
        <w:r>
          <w:rPr>
            <w:rStyle w:val="af1"/>
            <w:rFonts w:ascii="Arial" w:hAnsi="Arial" w:cs="Arial"/>
          </w:rPr>
          <w:t xml:space="preserve">2.</w:t>
        </w:r>
        <w:r>
          <w:rPr>
            <w:rFonts w:asciiTheme="minorHAnsi" w:hAnsiTheme="minorHAnsi" w:eastAsiaTheme="minorEastAsia" w:cstheme="minorBidi"/>
            <w:sz w:val="22"/>
            <w:szCs w:val="22"/>
          </w:rPr>
          <w:tab/>
        </w:r>
        <w:r>
          <w:rPr>
            <w:rStyle w:val="af1"/>
          </w:rPr>
          <w:t xml:space="preserve">ОТВЕТСТВЕННОСТЬ И ОБЛАСТЬ ПРИМЕНЕНИЯ</w:t>
        </w:r>
        <w:r>
          <w:tab/>
        </w:r>
        <w:r>
          <w:fldChar w:fldCharType="begin"/>
        </w:r>
        <w:r>
          <w:instrText xml:space="preserve"> PAGEREF _Toc10707069 \h </w:instrText>
        </w:r>
        <w:r/>
        <w:r>
          <w:fldChar w:fldCharType="separate"/>
        </w:r>
        <w:r>
          <w:t xml:space="preserve">3</w:t>
        </w:r>
        <w:r>
          <w:fldChar w:fldCharType="end"/>
        </w:r>
      </w:hyperlink>
    </w:p>
    <w:p>
      <w:pPr>
        <w:pStyle w:val="12"/>
        <w:rPr>
          <w:rFonts w:asciiTheme="minorHAnsi" w:hAnsiTheme="minorHAnsi" w:eastAsiaTheme="minorEastAsia" w:cstheme="minorBidi"/>
          <w:sz w:val="22"/>
          <w:szCs w:val="22"/>
        </w:rPr>
      </w:pPr>
      <w:hyperlink w:anchor="_Toc10707070" w:history="1">
        <w:r>
          <w:rPr>
            <w:rStyle w:val="af1"/>
            <w:rFonts w:ascii="Arial" w:hAnsi="Arial" w:cs="Arial"/>
          </w:rPr>
          <w:t xml:space="preserve">3.</w:t>
        </w:r>
        <w:r>
          <w:rPr>
            <w:rFonts w:asciiTheme="minorHAnsi" w:hAnsiTheme="minorHAnsi" w:eastAsiaTheme="minorEastAsia" w:cstheme="minorBidi"/>
            <w:sz w:val="22"/>
            <w:szCs w:val="22"/>
          </w:rPr>
          <w:tab/>
        </w:r>
        <w:r>
          <w:rPr>
            <w:rStyle w:val="af1"/>
          </w:rPr>
          <w:t xml:space="preserve">ОПРЕДЕЛЕНИЯ РОЛЕЙ И ТЕРМИНОВ</w:t>
        </w:r>
        <w:r>
          <w:tab/>
        </w:r>
        <w:r>
          <w:fldChar w:fldCharType="begin"/>
        </w:r>
        <w:r>
          <w:instrText xml:space="preserve"> PAGEREF _Toc10707070 \h </w:instrText>
        </w:r>
        <w:r/>
        <w:r>
          <w:fldChar w:fldCharType="separate"/>
        </w:r>
        <w:r>
          <w:t xml:space="preserve">3</w:t>
        </w:r>
        <w:r>
          <w:fldChar w:fldCharType="end"/>
        </w:r>
      </w:hyperlink>
    </w:p>
    <w:p>
      <w:pPr>
        <w:pStyle w:val="12"/>
        <w:rPr>
          <w:rFonts w:asciiTheme="minorHAnsi" w:hAnsiTheme="minorHAnsi" w:eastAsiaTheme="minorEastAsia" w:cstheme="minorBidi"/>
          <w:sz w:val="22"/>
          <w:szCs w:val="22"/>
        </w:rPr>
      </w:pPr>
      <w:hyperlink w:anchor="_Toc10707071" w:history="1">
        <w:r>
          <w:rPr>
            <w:rStyle w:val="af1"/>
            <w:rFonts w:ascii="Arial" w:hAnsi="Arial" w:cs="Arial"/>
          </w:rPr>
          <w:t xml:space="preserve">4.</w:t>
        </w:r>
        <w:r>
          <w:rPr>
            <w:rFonts w:asciiTheme="minorHAnsi" w:hAnsiTheme="minorHAnsi" w:eastAsiaTheme="minorEastAsia" w:cstheme="minorBidi"/>
            <w:sz w:val="22"/>
            <w:szCs w:val="22"/>
          </w:rPr>
          <w:tab/>
        </w:r>
        <w:r>
          <w:rPr>
            <w:rStyle w:val="af1"/>
          </w:rPr>
          <w:t xml:space="preserve">ОБЩИЕ ПОЛОЖЕНИЯ</w:t>
        </w:r>
        <w:r>
          <w:tab/>
        </w:r>
        <w:r>
          <w:fldChar w:fldCharType="begin"/>
        </w:r>
        <w:r>
          <w:instrText xml:space="preserve"> PAGEREF _Toc10707071 \h </w:instrText>
        </w:r>
        <w:r/>
        <w:r>
          <w:fldChar w:fldCharType="separate"/>
        </w:r>
        <w:r>
          <w:t xml:space="preserve">7</w:t>
        </w:r>
        <w:r>
          <w:fldChar w:fldCharType="end"/>
        </w:r>
      </w:hyperlink>
    </w:p>
    <w:p>
      <w:pPr>
        <w:pStyle w:val="12"/>
        <w:rPr>
          <w:rFonts w:asciiTheme="minorHAnsi" w:hAnsiTheme="minorHAnsi" w:eastAsiaTheme="minorEastAsia" w:cstheme="minorBidi"/>
          <w:sz w:val="22"/>
          <w:szCs w:val="22"/>
        </w:rPr>
      </w:pPr>
      <w:hyperlink w:anchor="_Toc10707072" w:history="1">
        <w:r>
          <w:rPr>
            <w:rStyle w:val="af1"/>
            <w:rFonts w:ascii="Arial" w:hAnsi="Arial" w:cs="Arial"/>
          </w:rPr>
          <w:t xml:space="preserve">5.</w:t>
        </w:r>
        <w:r>
          <w:rPr>
            <w:rFonts w:asciiTheme="minorHAnsi" w:hAnsiTheme="minorHAnsi" w:eastAsiaTheme="minorEastAsia" w:cstheme="minorBidi"/>
            <w:sz w:val="22"/>
            <w:szCs w:val="22"/>
          </w:rPr>
          <w:tab/>
        </w:r>
        <w:r>
          <w:rPr>
            <w:rStyle w:val="af1"/>
          </w:rPr>
          <w:t xml:space="preserve">УЧЕТ АВАРИЙ И НАРУШЕНИЙ В РАБОТЕ ЭНЕРГООБОРУДОВАНИЯ</w:t>
        </w:r>
        <w:r>
          <w:tab/>
        </w:r>
        <w:r>
          <w:fldChar w:fldCharType="begin"/>
        </w:r>
        <w:r>
          <w:instrText xml:space="preserve"> PAGEREF _Toc10707072 \h </w:instrText>
        </w:r>
        <w:r/>
        <w:r>
          <w:fldChar w:fldCharType="separate"/>
        </w:r>
        <w:r>
          <w:t xml:space="preserve">8</w:t>
        </w:r>
        <w:r>
          <w:fldChar w:fldCharType="end"/>
        </w:r>
      </w:hyperlink>
    </w:p>
    <w:p>
      <w:pPr>
        <w:pStyle w:val="12"/>
        <w:rPr>
          <w:rFonts w:asciiTheme="minorHAnsi" w:hAnsiTheme="minorHAnsi" w:eastAsiaTheme="minorEastAsia" w:cstheme="minorBidi"/>
          <w:sz w:val="22"/>
          <w:szCs w:val="22"/>
        </w:rPr>
      </w:pPr>
      <w:hyperlink w:anchor="_Toc10707073" w:history="1">
        <w:r>
          <w:rPr>
            <w:rStyle w:val="af1"/>
            <w:rFonts w:ascii="Arial" w:hAnsi="Arial" w:cs="Arial"/>
          </w:rPr>
          <w:t xml:space="preserve">6.</w:t>
        </w:r>
        <w:r>
          <w:rPr>
            <w:rFonts w:asciiTheme="minorHAnsi" w:hAnsiTheme="minorHAnsi" w:eastAsiaTheme="minorEastAsia" w:cstheme="minorBidi"/>
            <w:sz w:val="22"/>
            <w:szCs w:val="22"/>
          </w:rPr>
          <w:tab/>
        </w:r>
        <w:r>
          <w:rPr>
            <w:rStyle w:val="af1"/>
          </w:rPr>
          <w:t xml:space="preserve">ПОРЯДОК РАСЧЕТА ЭКОНОМИЧЕСКОГО УЩЕРБА ОТ АВАРИЙ И НАРУШЕНИЙ В РАБОТЕ ЭНЕРГООБОРУДОВАНИЯ</w:t>
        </w:r>
        <w:r>
          <w:tab/>
        </w:r>
        <w:r>
          <w:fldChar w:fldCharType="begin"/>
        </w:r>
        <w:r>
          <w:instrText xml:space="preserve"> PAGEREF _Toc10707073 \h </w:instrText>
        </w:r>
        <w:r/>
        <w:r>
          <w:fldChar w:fldCharType="separate"/>
        </w:r>
        <w:r>
          <w:t xml:space="preserve">13</w:t>
        </w:r>
        <w:r>
          <w:fldChar w:fldCharType="end"/>
        </w:r>
      </w:hyperlink>
    </w:p>
    <w:p>
      <w:pPr>
        <w:pStyle w:val="12"/>
        <w:rPr>
          <w:rFonts w:asciiTheme="minorHAnsi" w:hAnsiTheme="minorHAnsi" w:eastAsiaTheme="minorEastAsia" w:cstheme="minorBidi"/>
          <w:sz w:val="22"/>
          <w:szCs w:val="22"/>
        </w:rPr>
      </w:pPr>
      <w:hyperlink w:anchor="_Toc10707076" w:history="1">
        <w:r>
          <w:rPr>
            <w:rStyle w:val="af1"/>
          </w:rPr>
          <w:t xml:space="preserve">6.1.</w:t>
        </w:r>
        <w:r>
          <w:rPr>
            <w:rFonts w:asciiTheme="minorHAnsi" w:hAnsiTheme="minorHAnsi" w:eastAsiaTheme="minorEastAsia" w:cstheme="minorBidi"/>
            <w:sz w:val="22"/>
            <w:szCs w:val="22"/>
          </w:rPr>
          <w:tab/>
        </w:r>
        <w:r>
          <w:rPr>
            <w:rStyle w:val="af1"/>
          </w:rPr>
          <w:t xml:space="preserve">Затраты на ведение ремонтных работ </w:t>
        </w:r>
        <w:r>
          <w:rPr>
            <w:rStyle w:val="af1"/>
            <w:i/>
          </w:rPr>
          <w:t xml:space="preserve">(</w:t>
        </w:r>
        <w:r>
          <w:rPr>
            <w:rStyle w:val="af1"/>
            <w:i/>
            <w:lang w:val="en-US"/>
          </w:rPr>
          <w:t xml:space="preserve">U</w:t>
        </w:r>
        <w:r>
          <w:rPr>
            <w:rStyle w:val="af1"/>
            <w:i/>
            <w:vertAlign w:val="subscript"/>
          </w:rPr>
          <w:t xml:space="preserve">1</w:t>
        </w:r>
        <w:r>
          <w:rPr>
            <w:rStyle w:val="af1"/>
            <w:i/>
          </w:rPr>
          <w:t xml:space="preserve">)</w:t>
        </w:r>
        <w:r>
          <w:tab/>
        </w:r>
        <w:r>
          <w:fldChar w:fldCharType="begin"/>
        </w:r>
        <w:r>
          <w:instrText xml:space="preserve"> PAGEREF _Toc10707076 \h </w:instrText>
        </w:r>
        <w:r/>
        <w:r>
          <w:fldChar w:fldCharType="separate"/>
        </w:r>
        <w:r>
          <w:t xml:space="preserve">13</w:t>
        </w:r>
        <w:r>
          <w:fldChar w:fldCharType="end"/>
        </w:r>
      </w:hyperlink>
    </w:p>
    <w:p>
      <w:pPr>
        <w:pStyle w:val="12"/>
        <w:rPr>
          <w:rFonts w:asciiTheme="minorHAnsi" w:hAnsiTheme="minorHAnsi" w:eastAsiaTheme="minorEastAsia" w:cstheme="minorBidi"/>
          <w:sz w:val="22"/>
          <w:szCs w:val="22"/>
        </w:rPr>
      </w:pPr>
      <w:hyperlink w:anchor="_Toc10707077" w:history="1">
        <w:r>
          <w:rPr>
            <w:rStyle w:val="af1"/>
          </w:rPr>
          <w:t xml:space="preserve">6.2.</w:t>
        </w:r>
        <w:r>
          <w:rPr>
            <w:rFonts w:asciiTheme="minorHAnsi" w:hAnsiTheme="minorHAnsi" w:eastAsiaTheme="minorEastAsia" w:cstheme="minorBidi"/>
            <w:sz w:val="22"/>
            <w:szCs w:val="22"/>
          </w:rPr>
          <w:tab/>
        </w:r>
        <w:r>
          <w:rPr>
            <w:rStyle w:val="af1"/>
          </w:rPr>
          <w:t xml:space="preserve">Безвозвратные потери средств производства </w:t>
        </w:r>
        <w:r>
          <w:rPr>
            <w:rStyle w:val="af1"/>
            <w:i/>
          </w:rPr>
          <w:t xml:space="preserve">(</w:t>
        </w:r>
        <w:r>
          <w:rPr>
            <w:rStyle w:val="af1"/>
            <w:i/>
            <w:lang w:val="en-US"/>
          </w:rPr>
          <w:t xml:space="preserve">U</w:t>
        </w:r>
        <w:r>
          <w:rPr>
            <w:rStyle w:val="af1"/>
            <w:i/>
            <w:vertAlign w:val="subscript"/>
          </w:rPr>
          <w:t xml:space="preserve">2</w:t>
        </w:r>
        <w:r>
          <w:rPr>
            <w:rStyle w:val="af1"/>
            <w:i/>
          </w:rPr>
          <w:t xml:space="preserve">)</w:t>
        </w:r>
        <w:r>
          <w:tab/>
        </w:r>
        <w:r>
          <w:fldChar w:fldCharType="begin"/>
        </w:r>
        <w:r>
          <w:instrText xml:space="preserve"> PAGEREF _Toc10707077 \h </w:instrText>
        </w:r>
        <w:r/>
        <w:r>
          <w:fldChar w:fldCharType="separate"/>
        </w:r>
        <w:r>
          <w:t xml:space="preserve">13</w:t>
        </w:r>
        <w:r>
          <w:fldChar w:fldCharType="end"/>
        </w:r>
      </w:hyperlink>
    </w:p>
    <w:p>
      <w:pPr>
        <w:pStyle w:val="12"/>
        <w:rPr>
          <w:rFonts w:asciiTheme="minorHAnsi" w:hAnsiTheme="minorHAnsi" w:eastAsiaTheme="minorEastAsia" w:cstheme="minorBidi"/>
          <w:sz w:val="22"/>
          <w:szCs w:val="22"/>
        </w:rPr>
      </w:pPr>
      <w:hyperlink w:anchor="_Toc10707078" w:history="1">
        <w:r>
          <w:rPr>
            <w:rStyle w:val="af1"/>
          </w:rPr>
          <w:t xml:space="preserve">6.3.</w:t>
        </w:r>
        <w:r>
          <w:rPr>
            <w:rFonts w:asciiTheme="minorHAnsi" w:hAnsiTheme="minorHAnsi" w:eastAsiaTheme="minorEastAsia" w:cstheme="minorBidi"/>
            <w:sz w:val="22"/>
            <w:szCs w:val="22"/>
          </w:rPr>
          <w:tab/>
        </w:r>
        <w:r>
          <w:rPr>
            <w:rStyle w:val="af1"/>
          </w:rPr>
          <w:t xml:space="preserve">Потери от ухудшения технологических параметров </w:t>
        </w:r>
        <w:r>
          <w:rPr>
            <w:rStyle w:val="af1"/>
            <w:i/>
          </w:rPr>
          <w:t xml:space="preserve">(</w:t>
        </w:r>
        <w:r>
          <w:rPr>
            <w:rStyle w:val="af1"/>
            <w:i/>
            <w:lang w:val="en-US"/>
          </w:rPr>
          <w:t xml:space="preserve">U</w:t>
        </w:r>
        <w:r>
          <w:rPr>
            <w:rStyle w:val="af1"/>
            <w:i/>
            <w:vertAlign w:val="subscript"/>
          </w:rPr>
          <w:t xml:space="preserve">3</w:t>
        </w:r>
        <w:r>
          <w:rPr>
            <w:rStyle w:val="af1"/>
            <w:i/>
          </w:rPr>
          <w:t xml:space="preserve">)</w:t>
        </w:r>
        <w:r>
          <w:tab/>
        </w:r>
        <w:r>
          <w:fldChar w:fldCharType="begin"/>
        </w:r>
        <w:r>
          <w:instrText xml:space="preserve"> PAGEREF _Toc10707078 \h </w:instrText>
        </w:r>
        <w:r/>
        <w:r>
          <w:fldChar w:fldCharType="separate"/>
        </w:r>
        <w:r>
          <w:t xml:space="preserve">14</w:t>
        </w:r>
        <w:r>
          <w:fldChar w:fldCharType="end"/>
        </w:r>
      </w:hyperlink>
    </w:p>
    <w:p>
      <w:pPr>
        <w:pStyle w:val="12"/>
        <w:rPr>
          <w:rFonts w:asciiTheme="minorHAnsi" w:hAnsiTheme="minorHAnsi" w:eastAsiaTheme="minorEastAsia" w:cstheme="minorBidi"/>
          <w:sz w:val="22"/>
          <w:szCs w:val="22"/>
        </w:rPr>
      </w:pPr>
      <w:hyperlink w:anchor="_Toc10707079" w:history="1">
        <w:r>
          <w:rPr>
            <w:rStyle w:val="af1"/>
          </w:rPr>
          <w:t xml:space="preserve">6.4.</w:t>
        </w:r>
        <w:r>
          <w:rPr>
            <w:rFonts w:asciiTheme="minorHAnsi" w:hAnsiTheme="minorHAnsi" w:eastAsiaTheme="minorEastAsia" w:cstheme="minorBidi"/>
            <w:sz w:val="22"/>
            <w:szCs w:val="22"/>
          </w:rPr>
          <w:tab/>
        </w:r>
        <w:r>
          <w:rPr>
            <w:rStyle w:val="af1"/>
          </w:rPr>
          <w:t xml:space="preserve">Пусковые затраты </w:t>
        </w:r>
        <w:r>
          <w:rPr>
            <w:rStyle w:val="af1"/>
            <w:i/>
          </w:rPr>
          <w:t xml:space="preserve">(</w:t>
        </w:r>
        <w:r>
          <w:rPr>
            <w:rStyle w:val="af1"/>
            <w:i/>
            <w:lang w:val="en-US"/>
          </w:rPr>
          <w:t xml:space="preserve">U</w:t>
        </w:r>
        <w:r>
          <w:rPr>
            <w:rStyle w:val="af1"/>
            <w:i/>
            <w:vertAlign w:val="subscript"/>
          </w:rPr>
          <w:t xml:space="preserve">4</w:t>
        </w:r>
        <w:r>
          <w:rPr>
            <w:rStyle w:val="af1"/>
            <w:i/>
          </w:rPr>
          <w:t xml:space="preserve">)</w:t>
        </w:r>
        <w:r>
          <w:tab/>
        </w:r>
        <w:r>
          <w:fldChar w:fldCharType="begin"/>
        </w:r>
        <w:r>
          <w:instrText xml:space="preserve"> PAGEREF _Toc10707079 \h </w:instrText>
        </w:r>
        <w:r/>
        <w:r>
          <w:fldChar w:fldCharType="separate"/>
        </w:r>
        <w:r>
          <w:t xml:space="preserve">15</w:t>
        </w:r>
        <w:r>
          <w:fldChar w:fldCharType="end"/>
        </w:r>
      </w:hyperlink>
    </w:p>
    <w:p>
      <w:pPr>
        <w:pStyle w:val="12"/>
        <w:rPr>
          <w:rFonts w:asciiTheme="minorHAnsi" w:hAnsiTheme="minorHAnsi" w:eastAsiaTheme="minorEastAsia" w:cstheme="minorBidi"/>
          <w:sz w:val="22"/>
          <w:szCs w:val="22"/>
        </w:rPr>
      </w:pPr>
      <w:hyperlink w:anchor="_Toc10707080" w:history="1">
        <w:r>
          <w:rPr>
            <w:rStyle w:val="af1"/>
          </w:rPr>
          <w:t xml:space="preserve">6.5.</w:t>
        </w:r>
        <w:r>
          <w:rPr>
            <w:rFonts w:asciiTheme="minorHAnsi" w:hAnsiTheme="minorHAnsi" w:eastAsiaTheme="minorEastAsia" w:cstheme="minorBidi"/>
            <w:sz w:val="22"/>
            <w:szCs w:val="22"/>
          </w:rPr>
          <w:tab/>
        </w:r>
        <w:r>
          <w:rPr>
            <w:rStyle w:val="af1"/>
          </w:rPr>
          <w:t xml:space="preserve">Затраты на возмещение экологического ущерба </w:t>
        </w:r>
        <w:r>
          <w:rPr>
            <w:rStyle w:val="af1"/>
            <w:i/>
          </w:rPr>
          <w:t xml:space="preserve">(</w:t>
        </w:r>
        <w:r>
          <w:rPr>
            <w:rStyle w:val="af1"/>
            <w:i/>
            <w:lang w:val="en-US"/>
          </w:rPr>
          <w:t xml:space="preserve">U</w:t>
        </w:r>
        <w:r>
          <w:rPr>
            <w:rStyle w:val="af1"/>
            <w:i/>
            <w:vertAlign w:val="subscript"/>
          </w:rPr>
          <w:t xml:space="preserve">5</w:t>
        </w:r>
        <w:r>
          <w:rPr>
            <w:rStyle w:val="af1"/>
            <w:i/>
          </w:rPr>
          <w:t xml:space="preserve">)</w:t>
        </w:r>
        <w:r>
          <w:tab/>
        </w:r>
        <w:r>
          <w:fldChar w:fldCharType="begin"/>
        </w:r>
        <w:r>
          <w:instrText xml:space="preserve"> PAGEREF _Toc10707080 \h </w:instrText>
        </w:r>
        <w:r/>
        <w:r>
          <w:fldChar w:fldCharType="separate"/>
        </w:r>
        <w:r>
          <w:t xml:space="preserve">16</w:t>
        </w:r>
        <w:r>
          <w:fldChar w:fldCharType="end"/>
        </w:r>
      </w:hyperlink>
    </w:p>
    <w:p>
      <w:pPr>
        <w:pStyle w:val="12"/>
        <w:rPr>
          <w:rFonts w:asciiTheme="minorHAnsi" w:hAnsiTheme="minorHAnsi" w:eastAsiaTheme="minorEastAsia" w:cstheme="minorBidi"/>
          <w:sz w:val="22"/>
          <w:szCs w:val="22"/>
        </w:rPr>
      </w:pPr>
      <w:hyperlink w:anchor="_Toc10707081" w:history="1">
        <w:r>
          <w:rPr>
            <w:rStyle w:val="af1"/>
          </w:rPr>
          <w:t xml:space="preserve">6.6.</w:t>
        </w:r>
        <w:r>
          <w:rPr>
            <w:rFonts w:asciiTheme="minorHAnsi" w:hAnsiTheme="minorHAnsi" w:eastAsiaTheme="minorEastAsia" w:cstheme="minorBidi"/>
            <w:sz w:val="22"/>
            <w:szCs w:val="22"/>
          </w:rPr>
          <w:tab/>
        </w:r>
        <w:r>
          <w:rPr>
            <w:rStyle w:val="af1"/>
          </w:rPr>
          <w:t xml:space="preserve">Затраты на возмещение социального ущерба </w:t>
        </w:r>
        <w:r>
          <w:rPr>
            <w:rStyle w:val="af1"/>
            <w:i/>
          </w:rPr>
          <w:t xml:space="preserve">(</w:t>
        </w:r>
        <w:r>
          <w:rPr>
            <w:rStyle w:val="af1"/>
            <w:i/>
            <w:lang w:val="en-US"/>
          </w:rPr>
          <w:t xml:space="preserve">U</w:t>
        </w:r>
        <w:r>
          <w:rPr>
            <w:rStyle w:val="af1"/>
            <w:i/>
            <w:vertAlign w:val="subscript"/>
          </w:rPr>
          <w:t xml:space="preserve">6</w:t>
        </w:r>
        <w:r>
          <w:rPr>
            <w:rStyle w:val="af1"/>
            <w:i/>
          </w:rPr>
          <w:t xml:space="preserve">)</w:t>
        </w:r>
        <w:r>
          <w:tab/>
        </w:r>
        <w:r>
          <w:fldChar w:fldCharType="begin"/>
        </w:r>
        <w:r>
          <w:instrText xml:space="preserve"> PAGEREF _Toc10707081 \h </w:instrText>
        </w:r>
        <w:r/>
        <w:r>
          <w:fldChar w:fldCharType="separate"/>
        </w:r>
        <w:r>
          <w:t xml:space="preserve">16</w:t>
        </w:r>
        <w:r>
          <w:fldChar w:fldCharType="end"/>
        </w:r>
      </w:hyperlink>
    </w:p>
    <w:p>
      <w:pPr>
        <w:pStyle w:val="12"/>
        <w:rPr>
          <w:rFonts w:asciiTheme="minorHAnsi" w:hAnsiTheme="minorHAnsi" w:eastAsiaTheme="minorEastAsia" w:cstheme="minorBidi"/>
          <w:sz w:val="22"/>
          <w:szCs w:val="22"/>
        </w:rPr>
      </w:pPr>
      <w:hyperlink w:anchor="_Toc10707082" w:history="1">
        <w:r>
          <w:rPr>
            <w:rStyle w:val="af1"/>
          </w:rPr>
          <w:t xml:space="preserve">6.7.</w:t>
        </w:r>
        <w:r>
          <w:rPr>
            <w:rFonts w:asciiTheme="minorHAnsi" w:hAnsiTheme="minorHAnsi" w:eastAsiaTheme="minorEastAsia" w:cstheme="minorBidi"/>
            <w:sz w:val="22"/>
            <w:szCs w:val="22"/>
          </w:rPr>
          <w:tab/>
        </w:r>
        <w:r>
          <w:rPr>
            <w:rStyle w:val="af1"/>
          </w:rPr>
          <w:t xml:space="preserve">Затраты филиалов на возмещение убытков потребителям </w:t>
        </w:r>
        <w:r>
          <w:rPr>
            <w:rStyle w:val="af1"/>
            <w:i/>
          </w:rPr>
          <w:t xml:space="preserve">(</w:t>
        </w:r>
        <w:r>
          <w:rPr>
            <w:rStyle w:val="af1"/>
            <w:i/>
            <w:lang w:val="en-US"/>
          </w:rPr>
          <w:t xml:space="preserve">U</w:t>
        </w:r>
        <w:r>
          <w:rPr>
            <w:rStyle w:val="af1"/>
            <w:i/>
            <w:vertAlign w:val="subscript"/>
          </w:rPr>
          <w:t xml:space="preserve">7</w:t>
        </w:r>
        <w:r>
          <w:rPr>
            <w:rStyle w:val="af1"/>
            <w:i/>
          </w:rPr>
          <w:t xml:space="preserve">)</w:t>
        </w:r>
        <w:r>
          <w:tab/>
        </w:r>
        <w:r>
          <w:fldChar w:fldCharType="begin"/>
        </w:r>
        <w:r>
          <w:instrText xml:space="preserve"> PAGEREF _Toc10707082 \h </w:instrText>
        </w:r>
        <w:r/>
        <w:r>
          <w:fldChar w:fldCharType="separate"/>
        </w:r>
        <w:r>
          <w:t xml:space="preserve">16</w:t>
        </w:r>
        <w:r>
          <w:fldChar w:fldCharType="end"/>
        </w:r>
      </w:hyperlink>
    </w:p>
    <w:p>
      <w:pPr>
        <w:pStyle w:val="12"/>
        <w:rPr>
          <w:rFonts w:asciiTheme="minorHAnsi" w:hAnsiTheme="minorHAnsi" w:eastAsiaTheme="minorEastAsia" w:cstheme="minorBidi"/>
          <w:sz w:val="22"/>
          <w:szCs w:val="22"/>
        </w:rPr>
      </w:pPr>
      <w:hyperlink w:anchor="_Toc10707083" w:history="1">
        <w:r>
          <w:rPr>
            <w:rStyle w:val="af1"/>
          </w:rPr>
          <w:t xml:space="preserve">6.8.</w:t>
        </w:r>
        <w:r>
          <w:rPr>
            <w:rFonts w:asciiTheme="minorHAnsi" w:hAnsiTheme="minorHAnsi" w:eastAsiaTheme="minorEastAsia" w:cstheme="minorBidi"/>
            <w:sz w:val="22"/>
            <w:szCs w:val="22"/>
          </w:rPr>
          <w:tab/>
        </w:r>
        <w:r>
          <w:rPr>
            <w:rStyle w:val="af1"/>
          </w:rPr>
          <w:t xml:space="preserve">Потери на балансирующем рынке по собственной инициативе </w:t>
        </w:r>
        <w:r>
          <w:rPr>
            <w:rStyle w:val="af1"/>
            <w:i/>
          </w:rPr>
          <w:t xml:space="preserve">(</w:t>
        </w:r>
        <w:r>
          <w:rPr>
            <w:rStyle w:val="af1"/>
            <w:i/>
            <w:lang w:val="en-US"/>
          </w:rPr>
          <w:t xml:space="preserve">U</w:t>
        </w:r>
        <w:r>
          <w:rPr>
            <w:rStyle w:val="af1"/>
            <w:i/>
            <w:vertAlign w:val="subscript"/>
          </w:rPr>
          <w:t xml:space="preserve">8</w:t>
        </w:r>
        <w:r>
          <w:rPr>
            <w:rStyle w:val="af1"/>
            <w:i/>
          </w:rPr>
          <w:t xml:space="preserve">)</w:t>
        </w:r>
        <w:r>
          <w:tab/>
        </w:r>
        <w:r>
          <w:fldChar w:fldCharType="begin"/>
        </w:r>
        <w:r>
          <w:instrText xml:space="preserve"> PAGEREF _Toc10707083 \h </w:instrText>
        </w:r>
        <w:r/>
        <w:r>
          <w:fldChar w:fldCharType="separate"/>
        </w:r>
        <w:r>
          <w:t xml:space="preserve">16</w:t>
        </w:r>
        <w:r>
          <w:fldChar w:fldCharType="end"/>
        </w:r>
      </w:hyperlink>
    </w:p>
    <w:p>
      <w:pPr>
        <w:pStyle w:val="12"/>
        <w:rPr>
          <w:rFonts w:asciiTheme="minorHAnsi" w:hAnsiTheme="minorHAnsi" w:eastAsiaTheme="minorEastAsia" w:cstheme="minorBidi"/>
          <w:sz w:val="22"/>
          <w:szCs w:val="22"/>
        </w:rPr>
      </w:pPr>
      <w:hyperlink w:anchor="_Toc10707084" w:history="1">
        <w:r>
          <w:rPr>
            <w:rStyle w:val="af1"/>
          </w:rPr>
          <w:t xml:space="preserve">6.9.</w:t>
        </w:r>
        <w:r>
          <w:rPr>
            <w:rFonts w:asciiTheme="minorHAnsi" w:hAnsiTheme="minorHAnsi" w:eastAsiaTheme="minorEastAsia" w:cstheme="minorBidi"/>
            <w:sz w:val="22"/>
            <w:szCs w:val="22"/>
          </w:rPr>
          <w:tab/>
        </w:r>
        <w:r>
          <w:rPr>
            <w:rStyle w:val="af1"/>
          </w:rPr>
          <w:t xml:space="preserve">Неоплата располагаемой мощности электростанции </w:t>
        </w:r>
        <w:r>
          <w:rPr>
            <w:rStyle w:val="af1"/>
            <w:i/>
          </w:rPr>
          <w:t xml:space="preserve">(</w:t>
        </w:r>
        <w:r>
          <w:rPr>
            <w:rStyle w:val="af1"/>
            <w:i/>
            <w:lang w:val="en-US"/>
          </w:rPr>
          <w:t xml:space="preserve">U</w:t>
        </w:r>
        <w:r>
          <w:rPr>
            <w:rStyle w:val="af1"/>
            <w:i/>
            <w:vertAlign w:val="subscript"/>
          </w:rPr>
          <w:t xml:space="preserve">9</w:t>
        </w:r>
        <w:r>
          <w:rPr>
            <w:rStyle w:val="af1"/>
            <w:i/>
          </w:rPr>
          <w:t xml:space="preserve">)</w:t>
        </w:r>
        <w:r>
          <w:tab/>
        </w:r>
        <w:r>
          <w:fldChar w:fldCharType="begin"/>
        </w:r>
        <w:r>
          <w:instrText xml:space="preserve"> PAGEREF _Toc10707084 \h </w:instrText>
        </w:r>
        <w:r/>
        <w:r>
          <w:fldChar w:fldCharType="separate"/>
        </w:r>
        <w:r>
          <w:t xml:space="preserve">17</w:t>
        </w:r>
        <w:r>
          <w:fldChar w:fldCharType="end"/>
        </w:r>
      </w:hyperlink>
    </w:p>
    <w:p>
      <w:pPr>
        <w:pStyle w:val="12"/>
        <w:rPr>
          <w:rFonts w:asciiTheme="minorHAnsi" w:hAnsiTheme="minorHAnsi" w:eastAsiaTheme="minorEastAsia" w:cstheme="minorBidi"/>
          <w:sz w:val="22"/>
          <w:szCs w:val="22"/>
        </w:rPr>
      </w:pPr>
      <w:hyperlink w:anchor="_Toc10707085" w:history="1">
        <w:r>
          <w:rPr>
            <w:rStyle w:val="af1"/>
          </w:rPr>
          <w:t xml:space="preserve">6.10.</w:t>
        </w:r>
        <w:r>
          <w:rPr>
            <w:rFonts w:asciiTheme="minorHAnsi" w:hAnsiTheme="minorHAnsi" w:eastAsiaTheme="minorEastAsia" w:cstheme="minorBidi"/>
            <w:sz w:val="22"/>
            <w:szCs w:val="22"/>
          </w:rPr>
          <w:tab/>
        </w:r>
        <w:r>
          <w:rPr>
            <w:rStyle w:val="af1"/>
          </w:rPr>
          <w:t xml:space="preserve">Потери от неоказания или неполного оказания услуг по обеспечению системной надежности (НПРЧ, АВРЧМ и пр.) </w:t>
        </w:r>
        <w:r>
          <w:rPr>
            <w:rStyle w:val="af1"/>
            <w:i/>
          </w:rPr>
          <w:t xml:space="preserve">(</w:t>
        </w:r>
        <w:r>
          <w:rPr>
            <w:rStyle w:val="af1"/>
            <w:i/>
            <w:lang w:val="en-US"/>
          </w:rPr>
          <w:t xml:space="preserve">U</w:t>
        </w:r>
        <w:r>
          <w:rPr>
            <w:rStyle w:val="af1"/>
            <w:i/>
            <w:vertAlign w:val="subscript"/>
          </w:rPr>
          <w:t xml:space="preserve">10</w:t>
        </w:r>
        <w:r>
          <w:rPr>
            <w:rStyle w:val="af1"/>
            <w:i/>
          </w:rPr>
          <w:t xml:space="preserve">)</w:t>
        </w:r>
        <w:r>
          <w:tab/>
        </w:r>
        <w:r>
          <w:fldChar w:fldCharType="begin"/>
        </w:r>
        <w:r>
          <w:instrText xml:space="preserve"> PAGEREF _Toc10707085 \h </w:instrText>
        </w:r>
        <w:r/>
        <w:r>
          <w:fldChar w:fldCharType="separate"/>
        </w:r>
        <w:r>
          <w:t xml:space="preserve">18</w:t>
        </w:r>
        <w:r>
          <w:fldChar w:fldCharType="end"/>
        </w:r>
      </w:hyperlink>
    </w:p>
    <w:p>
      <w:pPr>
        <w:pStyle w:val="12"/>
        <w:rPr>
          <w:rFonts w:asciiTheme="minorHAnsi" w:hAnsiTheme="minorHAnsi" w:eastAsiaTheme="minorEastAsia" w:cstheme="minorBidi"/>
          <w:sz w:val="22"/>
          <w:szCs w:val="22"/>
        </w:rPr>
      </w:pPr>
      <w:hyperlink w:anchor="_Toc10707086" w:history="1">
        <w:r>
          <w:rPr>
            <w:rStyle w:val="af1"/>
          </w:rPr>
          <w:t xml:space="preserve">6.11.</w:t>
        </w:r>
        <w:r>
          <w:rPr>
            <w:rFonts w:asciiTheme="minorHAnsi" w:hAnsiTheme="minorHAnsi" w:eastAsiaTheme="minorEastAsia" w:cstheme="minorBidi"/>
            <w:sz w:val="22"/>
            <w:szCs w:val="22"/>
          </w:rPr>
          <w:tab/>
        </w:r>
        <w:r>
          <w:rPr>
            <w:rStyle w:val="af1"/>
          </w:rPr>
          <w:t xml:space="preserve">Прочие расходы </w:t>
        </w:r>
        <w:r>
          <w:rPr>
            <w:rStyle w:val="af1"/>
            <w:i/>
          </w:rPr>
          <w:t xml:space="preserve">(</w:t>
        </w:r>
        <w:r>
          <w:rPr>
            <w:rStyle w:val="af1"/>
            <w:i/>
            <w:lang w:val="en-US"/>
          </w:rPr>
          <w:t xml:space="preserve">U</w:t>
        </w:r>
        <w:r>
          <w:rPr>
            <w:rStyle w:val="af1"/>
            <w:i/>
            <w:vertAlign w:val="subscript"/>
          </w:rPr>
          <w:t xml:space="preserve">пр</w:t>
        </w:r>
        <w:r>
          <w:rPr>
            <w:rStyle w:val="af1"/>
            <w:i/>
          </w:rPr>
          <w:t xml:space="preserve">)</w:t>
        </w:r>
        <w:r>
          <w:tab/>
        </w:r>
        <w:r>
          <w:fldChar w:fldCharType="begin"/>
        </w:r>
        <w:r>
          <w:instrText xml:space="preserve"> PAGEREF _Toc10707086 \h </w:instrText>
        </w:r>
        <w:r/>
        <w:r>
          <w:fldChar w:fldCharType="separate"/>
        </w:r>
        <w:r>
          <w:t xml:space="preserve">18</w:t>
        </w:r>
        <w:r>
          <w:fldChar w:fldCharType="end"/>
        </w:r>
      </w:hyperlink>
    </w:p>
    <w:p>
      <w:pPr>
        <w:pStyle w:val="12"/>
        <w:rPr>
          <w:rFonts w:asciiTheme="minorHAnsi" w:hAnsiTheme="minorHAnsi" w:eastAsiaTheme="minorEastAsia" w:cstheme="minorBidi"/>
          <w:sz w:val="22"/>
          <w:szCs w:val="22"/>
        </w:rPr>
      </w:pPr>
      <w:hyperlink w:anchor="_Toc10707087" w:history="1">
        <w:r>
          <w:rPr>
            <w:rStyle w:val="af1"/>
          </w:rPr>
          <w:t xml:space="preserve">6.12.</w:t>
        </w:r>
        <w:r>
          <w:rPr>
            <w:rFonts w:asciiTheme="minorHAnsi" w:hAnsiTheme="minorHAnsi" w:eastAsiaTheme="minorEastAsia" w:cstheme="minorBidi"/>
            <w:sz w:val="22"/>
            <w:szCs w:val="22"/>
          </w:rPr>
          <w:tab/>
        </w:r>
        <w:r>
          <w:rPr>
            <w:rStyle w:val="af1"/>
          </w:rPr>
          <w:t xml:space="preserve">Упущенная выгода от недовыработки энергии </w:t>
        </w:r>
        <w:r>
          <w:rPr>
            <w:rStyle w:val="af1"/>
            <w:i/>
          </w:rPr>
          <w:t xml:space="preserve">(</w:t>
        </w:r>
        <w:r>
          <w:rPr>
            <w:rStyle w:val="af1"/>
            <w:i/>
            <w:lang w:val="en-US"/>
          </w:rPr>
          <w:t xml:space="preserve">W</w:t>
        </w:r>
        <w:r>
          <w:rPr>
            <w:rStyle w:val="af1"/>
            <w:i/>
            <w:vertAlign w:val="subscript"/>
            <w:lang w:val="en-US"/>
          </w:rPr>
          <w:t xml:space="preserve">M</w:t>
        </w:r>
        <w:r>
          <w:rPr>
            <w:rStyle w:val="af1"/>
            <w:i/>
          </w:rPr>
          <w:t xml:space="preserve">)</w:t>
        </w:r>
        <w:r>
          <w:tab/>
        </w:r>
        <w:r>
          <w:fldChar w:fldCharType="begin"/>
        </w:r>
        <w:r>
          <w:instrText xml:space="preserve"> PAGEREF _Toc10707087 \h </w:instrText>
        </w:r>
        <w:r/>
        <w:r>
          <w:fldChar w:fldCharType="separate"/>
        </w:r>
        <w:r>
          <w:t xml:space="preserve">18</w:t>
        </w:r>
        <w:r>
          <w:fldChar w:fldCharType="end"/>
        </w:r>
      </w:hyperlink>
    </w:p>
    <w:p>
      <w:pPr>
        <w:pStyle w:val="12"/>
        <w:tabs>
          <w:tab w:val="left" w:pos="960"/>
        </w:tabs>
        <w:rPr>
          <w:rFonts w:asciiTheme="minorHAnsi" w:hAnsiTheme="minorHAnsi" w:eastAsiaTheme="minorEastAsia" w:cstheme="minorBidi"/>
          <w:sz w:val="22"/>
          <w:szCs w:val="22"/>
        </w:rPr>
      </w:pPr>
      <w:hyperlink w:anchor="_Toc10707088" w:history="1">
        <w:r>
          <w:rPr>
            <w:rStyle w:val="af1"/>
          </w:rPr>
          <w:t xml:space="preserve">6.12.1.</w:t>
        </w:r>
        <w:r>
          <w:rPr>
            <w:rFonts w:asciiTheme="minorHAnsi" w:hAnsiTheme="minorHAnsi" w:eastAsiaTheme="minorEastAsia" w:cstheme="minorBidi"/>
            <w:sz w:val="22"/>
            <w:szCs w:val="22"/>
          </w:rPr>
          <w:tab/>
        </w:r>
        <w:r>
          <w:rPr>
            <w:rStyle w:val="af1"/>
          </w:rPr>
          <w:t xml:space="preserve">Упущенная выгода от недовыработки электроэнергии </w:t>
        </w:r>
        <w:r>
          <w:rPr>
            <w:rStyle w:val="af1"/>
            <w:i/>
          </w:rPr>
          <w:t xml:space="preserve">(</w:t>
        </w:r>
        <w:r>
          <w:rPr>
            <w:rStyle w:val="af1"/>
            <w:i/>
            <w:lang w:val="en-US"/>
          </w:rPr>
          <w:t xml:space="preserve">W</w:t>
        </w:r>
        <w:r>
          <w:rPr>
            <w:rStyle w:val="af1"/>
            <w:i/>
            <w:vertAlign w:val="subscript"/>
          </w:rPr>
          <w:t xml:space="preserve">ЭМ</w:t>
        </w:r>
        <w:r>
          <w:rPr>
            <w:rStyle w:val="af1"/>
            <w:i/>
          </w:rPr>
          <w:t xml:space="preserve">)</w:t>
        </w:r>
        <w:r>
          <w:rPr>
            <w:rStyle w:val="af1"/>
          </w:rPr>
          <w:t xml:space="preserve">.</w:t>
        </w:r>
        <w:r>
          <w:tab/>
        </w:r>
        <w:r>
          <w:fldChar w:fldCharType="begin"/>
        </w:r>
        <w:r>
          <w:instrText xml:space="preserve"> PAGEREF _Toc10707088 \h </w:instrText>
        </w:r>
        <w:r/>
        <w:r>
          <w:fldChar w:fldCharType="separate"/>
        </w:r>
        <w:r>
          <w:t xml:space="preserve">18</w:t>
        </w:r>
        <w:r>
          <w:fldChar w:fldCharType="end"/>
        </w:r>
      </w:hyperlink>
    </w:p>
    <w:p>
      <w:pPr>
        <w:pStyle w:val="12"/>
        <w:tabs>
          <w:tab w:val="left" w:pos="960"/>
        </w:tabs>
        <w:rPr>
          <w:rFonts w:asciiTheme="minorHAnsi" w:hAnsiTheme="minorHAnsi" w:eastAsiaTheme="minorEastAsia" w:cstheme="minorBidi"/>
          <w:sz w:val="22"/>
          <w:szCs w:val="22"/>
        </w:rPr>
      </w:pPr>
      <w:hyperlink w:anchor="_Toc10707089" w:history="1">
        <w:r>
          <w:rPr>
            <w:rStyle w:val="af1"/>
          </w:rPr>
          <w:t xml:space="preserve">6.12.2.</w:t>
        </w:r>
        <w:r>
          <w:rPr>
            <w:rFonts w:asciiTheme="minorHAnsi" w:hAnsiTheme="minorHAnsi" w:eastAsiaTheme="minorEastAsia" w:cstheme="minorBidi"/>
            <w:sz w:val="22"/>
            <w:szCs w:val="22"/>
          </w:rPr>
          <w:tab/>
        </w:r>
        <w:r>
          <w:rPr>
            <w:rStyle w:val="af1"/>
          </w:rPr>
          <w:t xml:space="preserve">Упущенная выгода от недовыработки тепловой энергии </w:t>
        </w:r>
        <w:r>
          <w:rPr>
            <w:rStyle w:val="af1"/>
            <w:i/>
          </w:rPr>
          <w:t xml:space="preserve">(</w:t>
        </w:r>
        <w:r>
          <w:rPr>
            <w:rStyle w:val="af1"/>
            <w:i/>
            <w:lang w:val="en-US"/>
          </w:rPr>
          <w:t xml:space="preserve">W</w:t>
        </w:r>
        <w:r>
          <w:rPr>
            <w:rStyle w:val="af1"/>
            <w:i/>
            <w:vertAlign w:val="subscript"/>
          </w:rPr>
          <w:t xml:space="preserve">ТМ</w:t>
        </w:r>
        <w:r>
          <w:rPr>
            <w:rStyle w:val="af1"/>
            <w:i/>
          </w:rPr>
          <w:t xml:space="preserve">)</w:t>
        </w:r>
        <w:r>
          <w:rPr>
            <w:rStyle w:val="af1"/>
          </w:rPr>
          <w:t xml:space="preserve">.</w:t>
        </w:r>
        <w:r>
          <w:tab/>
        </w:r>
        <w:r>
          <w:fldChar w:fldCharType="begin"/>
        </w:r>
        <w:r>
          <w:instrText xml:space="preserve"> PAGEREF _Toc10707089 \h </w:instrText>
        </w:r>
        <w:r/>
        <w:r>
          <w:fldChar w:fldCharType="separate"/>
        </w:r>
        <w:r>
          <w:t xml:space="preserve">19</w:t>
        </w:r>
        <w:r>
          <w:fldChar w:fldCharType="end"/>
        </w:r>
      </w:hyperlink>
    </w:p>
    <w:p>
      <w:pPr>
        <w:pStyle w:val="12"/>
        <w:tabs>
          <w:tab w:val="left" w:pos="960"/>
        </w:tabs>
        <w:rPr>
          <w:rFonts w:asciiTheme="minorHAnsi" w:hAnsiTheme="minorHAnsi" w:eastAsiaTheme="minorEastAsia" w:cstheme="minorBidi"/>
          <w:sz w:val="22"/>
          <w:szCs w:val="22"/>
        </w:rPr>
      </w:pPr>
      <w:hyperlink w:anchor="_Toc10707090" w:history="1">
        <w:r>
          <w:rPr>
            <w:rStyle w:val="af1"/>
          </w:rPr>
          <w:t xml:space="preserve">6.12.3.</w:t>
        </w:r>
        <w:r>
          <w:rPr>
            <w:rFonts w:asciiTheme="minorHAnsi" w:hAnsiTheme="minorHAnsi" w:eastAsiaTheme="minorEastAsia" w:cstheme="minorBidi"/>
            <w:sz w:val="22"/>
            <w:szCs w:val="22"/>
          </w:rPr>
          <w:tab/>
        </w:r>
        <w:r>
          <w:rPr>
            <w:rStyle w:val="af1"/>
          </w:rPr>
          <w:t xml:space="preserve">Упущенная выгода при отключениях для устранения повреждений на тепловых сетях (</w:t>
        </w:r>
        <w:r>
          <w:rPr>
            <w:rStyle w:val="af1"/>
            <w:i/>
            <w:lang w:val="en-US"/>
          </w:rPr>
          <w:t xml:space="preserve">W</w:t>
        </w:r>
        <w:r>
          <w:rPr>
            <w:rStyle w:val="af1"/>
            <w:i/>
            <w:vertAlign w:val="subscript"/>
          </w:rPr>
          <w:t xml:space="preserve">ТС</w:t>
        </w:r>
        <w:r>
          <w:rPr>
            <w:rStyle w:val="af1"/>
          </w:rPr>
          <w:t xml:space="preserve">) .</w:t>
        </w:r>
        <w:r>
          <w:tab/>
        </w:r>
        <w:r>
          <w:fldChar w:fldCharType="begin"/>
        </w:r>
        <w:r>
          <w:instrText xml:space="preserve"> PAGEREF _Toc10707090 \h </w:instrText>
        </w:r>
        <w:r/>
        <w:r>
          <w:fldChar w:fldCharType="separate"/>
        </w:r>
        <w:r>
          <w:t xml:space="preserve">19</w:t>
        </w:r>
        <w:r>
          <w:fldChar w:fldCharType="end"/>
        </w:r>
      </w:hyperlink>
    </w:p>
    <w:p>
      <w:pPr>
        <w:pStyle w:val="12"/>
        <w:rPr>
          <w:rFonts w:asciiTheme="minorHAnsi" w:hAnsiTheme="minorHAnsi" w:eastAsiaTheme="minorEastAsia" w:cstheme="minorBidi"/>
          <w:sz w:val="22"/>
          <w:szCs w:val="22"/>
        </w:rPr>
      </w:pPr>
      <w:hyperlink w:anchor="_Toc10707091" w:history="1">
        <w:r>
          <w:rPr>
            <w:rStyle w:val="af1"/>
          </w:rPr>
          <w:t xml:space="preserve">6.13.</w:t>
        </w:r>
        <w:r>
          <w:rPr>
            <w:rFonts w:asciiTheme="minorHAnsi" w:hAnsiTheme="minorHAnsi" w:eastAsiaTheme="minorEastAsia" w:cstheme="minorBidi"/>
            <w:sz w:val="22"/>
            <w:szCs w:val="22"/>
          </w:rPr>
          <w:tab/>
        </w:r>
        <w:r>
          <w:rPr>
            <w:rStyle w:val="af1"/>
          </w:rPr>
          <w:t xml:space="preserve">Возвратные суммы </w:t>
        </w:r>
        <w:r>
          <w:rPr>
            <w:rStyle w:val="af1"/>
            <w:i/>
          </w:rPr>
          <w:t xml:space="preserve">(</w:t>
        </w:r>
        <w:r>
          <w:rPr>
            <w:rStyle w:val="af1"/>
            <w:i/>
            <w:lang w:val="en-US"/>
          </w:rPr>
          <w:t xml:space="preserve">S</w:t>
        </w:r>
        <w:r>
          <w:rPr>
            <w:rStyle w:val="af1"/>
            <w:i/>
            <w:vertAlign w:val="subscript"/>
          </w:rPr>
          <w:t xml:space="preserve">ВОЗ</w:t>
        </w:r>
        <w:r>
          <w:rPr>
            <w:rStyle w:val="af1"/>
            <w:i/>
          </w:rPr>
          <w:t xml:space="preserve">)</w:t>
        </w:r>
        <w:r>
          <w:tab/>
        </w:r>
        <w:r>
          <w:fldChar w:fldCharType="begin"/>
        </w:r>
        <w:r>
          <w:instrText xml:space="preserve"> PAGEREF _Toc10707091 \h </w:instrText>
        </w:r>
        <w:r/>
        <w:r>
          <w:fldChar w:fldCharType="separate"/>
        </w:r>
        <w:r>
          <w:t xml:space="preserve">21</w:t>
        </w:r>
        <w:r>
          <w:fldChar w:fldCharType="end"/>
        </w:r>
      </w:hyperlink>
    </w:p>
    <w:p>
      <w:pPr>
        <w:pStyle w:val="12"/>
        <w:rPr>
          <w:rFonts w:asciiTheme="minorHAnsi" w:hAnsiTheme="minorHAnsi" w:eastAsiaTheme="minorEastAsia" w:cstheme="minorBidi"/>
          <w:sz w:val="22"/>
          <w:szCs w:val="22"/>
        </w:rPr>
      </w:pPr>
      <w:hyperlink w:anchor="_Toc10707092" w:history="1">
        <w:r>
          <w:rPr>
            <w:rStyle w:val="af1"/>
            <w:rFonts w:ascii="Arial" w:hAnsi="Arial" w:cs="Arial"/>
          </w:rPr>
          <w:t xml:space="preserve">7.</w:t>
        </w:r>
        <w:r>
          <w:rPr>
            <w:rFonts w:asciiTheme="minorHAnsi" w:hAnsiTheme="minorHAnsi" w:eastAsiaTheme="minorEastAsia" w:cstheme="minorBidi"/>
            <w:sz w:val="22"/>
            <w:szCs w:val="22"/>
          </w:rPr>
          <w:tab/>
        </w:r>
        <w:r>
          <w:rPr>
            <w:rStyle w:val="af1"/>
          </w:rPr>
          <w:t xml:space="preserve">ФОРМИРОВАНИЕ ОТЧЕТНОСТИ И ОРГАНИЗАЦИЯ РАССЛЕДОВАНИЯ</w:t>
        </w:r>
        <w:r>
          <w:tab/>
        </w:r>
        <w:r>
          <w:fldChar w:fldCharType="begin"/>
        </w:r>
        <w:r>
          <w:instrText xml:space="preserve"> PAGEREF _Toc10707092 \h </w:instrText>
        </w:r>
        <w:r/>
        <w:r>
          <w:fldChar w:fldCharType="separate"/>
        </w:r>
        <w:r>
          <w:t xml:space="preserve">21</w:t>
        </w:r>
        <w:r>
          <w:fldChar w:fldCharType="end"/>
        </w:r>
      </w:hyperlink>
    </w:p>
    <w:p>
      <w:pPr>
        <w:pStyle w:val="12"/>
        <w:rPr>
          <w:rFonts w:asciiTheme="minorHAnsi" w:hAnsiTheme="minorHAnsi" w:eastAsiaTheme="minorEastAsia" w:cstheme="minorBidi"/>
          <w:sz w:val="22"/>
          <w:szCs w:val="22"/>
        </w:rPr>
      </w:pPr>
      <w:hyperlink w:anchor="_Toc10707093" w:history="1">
        <w:r>
          <w:rPr>
            <w:rStyle w:val="af1"/>
            <w:rFonts w:ascii="Arial" w:hAnsi="Arial" w:cs="Arial"/>
          </w:rPr>
          <w:t xml:space="preserve">8.</w:t>
        </w:r>
        <w:r>
          <w:rPr>
            <w:rFonts w:asciiTheme="minorHAnsi" w:hAnsiTheme="minorHAnsi" w:eastAsiaTheme="minorEastAsia" w:cstheme="minorBidi"/>
            <w:sz w:val="22"/>
            <w:szCs w:val="22"/>
          </w:rPr>
          <w:tab/>
        </w:r>
        <w:r>
          <w:rPr>
            <w:rStyle w:val="af1"/>
          </w:rPr>
          <w:t xml:space="preserve">НОРМАТИВНЫЕ ССЫЛКИ</w:t>
        </w:r>
        <w:r>
          <w:tab/>
        </w:r>
        <w:r>
          <w:fldChar w:fldCharType="begin"/>
        </w:r>
        <w:r>
          <w:instrText xml:space="preserve"> PAGEREF _Toc10707093 \h </w:instrText>
        </w:r>
        <w:r/>
        <w:r>
          <w:fldChar w:fldCharType="separate"/>
        </w:r>
        <w:r>
          <w:t xml:space="preserve">22</w:t>
        </w:r>
        <w:r>
          <w:fldChar w:fldCharType="end"/>
        </w:r>
      </w:hyperlink>
    </w:p>
    <w:p>
      <w:pPr>
        <w:pStyle w:val="12"/>
        <w:rPr>
          <w:rFonts w:asciiTheme="minorHAnsi" w:hAnsiTheme="minorHAnsi" w:eastAsiaTheme="minorEastAsia" w:cstheme="minorBidi"/>
          <w:sz w:val="22"/>
          <w:szCs w:val="22"/>
        </w:rPr>
      </w:pPr>
      <w:hyperlink w:anchor="_Toc10707094" w:history="1">
        <w:r>
          <w:rPr>
            <w:rStyle w:val="af1"/>
            <w:rFonts w:ascii="Arial" w:hAnsi="Arial" w:cs="Arial"/>
          </w:rPr>
          <w:t xml:space="preserve">9.</w:t>
        </w:r>
        <w:r>
          <w:rPr>
            <w:rFonts w:asciiTheme="minorHAnsi" w:hAnsiTheme="minorHAnsi" w:eastAsiaTheme="minorEastAsia" w:cstheme="minorBidi"/>
            <w:sz w:val="22"/>
            <w:szCs w:val="22"/>
          </w:rPr>
          <w:tab/>
        </w:r>
        <w:r>
          <w:rPr>
            <w:rStyle w:val="af1"/>
          </w:rPr>
          <w:t xml:space="preserve">КОНТРОЛЬ ВЕРСИЙ ДОКУМЕНТА</w:t>
        </w:r>
        <w:r>
          <w:tab/>
        </w:r>
        <w:r>
          <w:fldChar w:fldCharType="begin"/>
        </w:r>
        <w:r>
          <w:instrText xml:space="preserve"> PAGEREF _Toc10707094 \h </w:instrText>
        </w:r>
        <w:r/>
        <w:r>
          <w:fldChar w:fldCharType="separate"/>
        </w:r>
        <w:r>
          <w:t xml:space="preserve">23</w:t>
        </w:r>
        <w:r>
          <w:fldChar w:fldCharType="end"/>
        </w:r>
      </w:hyperlink>
    </w:p>
    <w:p>
      <w:pPr>
        <w:pStyle w:val="12"/>
        <w:rPr>
          <w:rFonts w:asciiTheme="minorHAnsi" w:hAnsiTheme="minorHAnsi" w:eastAsiaTheme="minorEastAsia" w:cstheme="minorBidi"/>
          <w:sz w:val="22"/>
          <w:szCs w:val="22"/>
        </w:rPr>
      </w:pPr>
      <w:hyperlink w:anchor="_Toc10707095" w:history="1">
        <w:r>
          <w:rPr>
            <w:rStyle w:val="af1"/>
            <w:rFonts w:ascii="Arial" w:hAnsi="Arial" w:cs="Arial"/>
          </w:rPr>
          <w:t xml:space="preserve">10.</w:t>
        </w:r>
        <w:r>
          <w:rPr>
            <w:rFonts w:asciiTheme="minorHAnsi" w:hAnsiTheme="minorHAnsi" w:eastAsiaTheme="minorEastAsia" w:cstheme="minorBidi"/>
            <w:sz w:val="22"/>
            <w:szCs w:val="22"/>
          </w:rPr>
          <w:tab/>
        </w:r>
        <w:r>
          <w:rPr>
            <w:rStyle w:val="af1"/>
          </w:rPr>
          <w:t xml:space="preserve">ПРИЛОЖЕНИЯ</w:t>
        </w:r>
        <w:r>
          <w:tab/>
        </w:r>
        <w:r>
          <w:fldChar w:fldCharType="begin"/>
        </w:r>
        <w:r>
          <w:instrText xml:space="preserve"> PAGEREF _Toc10707095 \h </w:instrText>
        </w:r>
        <w:r/>
        <w:r>
          <w:fldChar w:fldCharType="separate"/>
        </w:r>
        <w:r>
          <w:t xml:space="preserve">23</w:t>
        </w:r>
        <w:r>
          <w:fldChar w:fldCharType="end"/>
        </w:r>
      </w:hyperlink>
    </w:p>
    <w:p>
      <w:pPr>
        <w:pStyle w:val="12"/>
        <w:rPr>
          <w:rFonts w:asciiTheme="minorHAnsi" w:hAnsiTheme="minorHAnsi" w:eastAsiaTheme="minorEastAsia" w:cstheme="minorBidi"/>
          <w:sz w:val="22"/>
          <w:szCs w:val="22"/>
        </w:rPr>
      </w:pPr>
      <w:hyperlink w:anchor="_Toc10707096" w:history="1">
        <w:r>
          <w:rPr>
            <w:rStyle w:val="af1"/>
          </w:rPr>
          <w:t xml:space="preserve">10.1. Приложение 1. Справка-расчет экономического ущерба.</w:t>
        </w:r>
        <w:r>
          <w:tab/>
        </w:r>
        <w:r>
          <w:fldChar w:fldCharType="begin"/>
        </w:r>
        <w:r>
          <w:instrText xml:space="preserve"> PAGEREF _Toc10707096 \h </w:instrText>
        </w:r>
        <w:r/>
        <w:r>
          <w:fldChar w:fldCharType="separate"/>
        </w:r>
        <w:r>
          <w:t xml:space="preserve">24</w:t>
        </w:r>
        <w:r>
          <w:fldChar w:fldCharType="end"/>
        </w:r>
      </w:hyperlink>
    </w:p>
    <w:p>
      <w:pPr>
        <w:pStyle w:val="12"/>
        <w:rPr>
          <w:rFonts w:asciiTheme="minorHAnsi" w:hAnsiTheme="minorHAnsi" w:eastAsiaTheme="minorEastAsia" w:cstheme="minorBidi"/>
          <w:sz w:val="22"/>
          <w:szCs w:val="22"/>
        </w:rPr>
      </w:pPr>
      <w:hyperlink w:anchor="_Toc10707097" w:history="1">
        <w:r>
          <w:rPr>
            <w:rStyle w:val="af1"/>
          </w:rPr>
          <w:t xml:space="preserve">10.2.</w:t>
        </w:r>
        <w:r>
          <w:rPr>
            <w:rFonts w:asciiTheme="minorHAnsi" w:hAnsiTheme="minorHAnsi" w:eastAsiaTheme="minorEastAsia" w:cstheme="minorBidi"/>
            <w:sz w:val="22"/>
            <w:szCs w:val="22"/>
          </w:rPr>
          <w:tab/>
        </w:r>
        <w:r>
          <w:rPr>
            <w:rStyle w:val="af1"/>
          </w:rPr>
          <w:t xml:space="preserve">Приложение 2. Форма предоставления данных по авариям и нарушениям в работе оборудования.</w:t>
        </w:r>
        <w:r>
          <w:tab/>
        </w:r>
        <w:r>
          <w:fldChar w:fldCharType="begin"/>
        </w:r>
        <w:r>
          <w:instrText xml:space="preserve"> PAGEREF _Toc10707097 \h </w:instrText>
        </w:r>
        <w:r/>
        <w:r>
          <w:fldChar w:fldCharType="separate"/>
        </w:r>
        <w:r>
          <w:t xml:space="preserve">27</w:t>
        </w:r>
        <w:r>
          <w:fldChar w:fldCharType="end"/>
        </w:r>
      </w:hyperlink>
    </w:p>
    <w:p>
      <w:pPr>
        <w:pStyle w:val="12"/>
        <w:rPr>
          <w:rFonts w:asciiTheme="minorHAnsi" w:hAnsiTheme="minorHAnsi" w:eastAsiaTheme="minorEastAsia" w:cstheme="minorBidi"/>
          <w:sz w:val="22"/>
          <w:szCs w:val="22"/>
        </w:rPr>
      </w:pPr>
      <w:hyperlink w:anchor="_Toc10707098" w:history="1">
        <w:r>
          <w:rPr>
            <w:rStyle w:val="af1"/>
          </w:rPr>
          <w:t xml:space="preserve">10.3.</w:t>
        </w:r>
        <w:r>
          <w:rPr>
            <w:rFonts w:asciiTheme="minorHAnsi" w:hAnsiTheme="minorHAnsi" w:eastAsiaTheme="minorEastAsia" w:cstheme="minorBidi"/>
            <w:sz w:val="22"/>
            <w:szCs w:val="22"/>
          </w:rPr>
          <w:tab/>
        </w:r>
        <w:r>
          <w:rPr>
            <w:rStyle w:val="af1"/>
          </w:rPr>
          <w:t xml:space="preserve">Приложение 3. Форма представления данных по повреждениям, произошедшим при проведении ремонтов и испытаний</w:t>
        </w:r>
        <w:r>
          <w:tab/>
        </w:r>
        <w:r>
          <w:fldChar w:fldCharType="begin"/>
        </w:r>
        <w:r>
          <w:instrText xml:space="preserve"> PAGEREF _Toc10707098 \h </w:instrText>
        </w:r>
        <w:r/>
        <w:r>
          <w:fldChar w:fldCharType="separate"/>
        </w:r>
        <w:r>
          <w:t xml:space="preserve">29</w:t>
        </w:r>
        <w:r>
          <w:fldChar w:fldCharType="end"/>
        </w:r>
      </w:hyperlink>
    </w:p>
    <w:p>
      <w:pPr>
        <w:pStyle w:val="12"/>
        <w:rPr>
          <w:rFonts w:asciiTheme="minorHAnsi" w:hAnsiTheme="minorHAnsi" w:eastAsiaTheme="minorEastAsia" w:cstheme="minorBidi"/>
          <w:sz w:val="22"/>
          <w:szCs w:val="22"/>
        </w:rPr>
      </w:pPr>
      <w:hyperlink w:anchor="_Toc10707099" w:history="1">
        <w:r>
          <w:rPr>
            <w:rStyle w:val="af1"/>
          </w:rPr>
          <w:t xml:space="preserve">10.4.</w:t>
        </w:r>
        <w:r>
          <w:rPr>
            <w:rFonts w:asciiTheme="minorHAnsi" w:hAnsiTheme="minorHAnsi" w:eastAsiaTheme="minorEastAsia" w:cstheme="minorBidi"/>
            <w:sz w:val="22"/>
            <w:szCs w:val="22"/>
          </w:rPr>
          <w:tab/>
        </w:r>
        <w:r>
          <w:rPr>
            <w:rStyle w:val="af1"/>
          </w:rPr>
          <w:t xml:space="preserve">Приложение 4. Рекомендуемая форма акта расследования причин аварий и нарушений в работе энергооборудования (корпоративный учет)</w:t>
        </w:r>
        <w:r>
          <w:tab/>
        </w:r>
        <w:r>
          <w:fldChar w:fldCharType="begin"/>
        </w:r>
        <w:r>
          <w:instrText xml:space="preserve"> PAGEREF _Toc10707099 \h </w:instrText>
        </w:r>
        <w:r/>
        <w:r>
          <w:fldChar w:fldCharType="separate"/>
        </w:r>
        <w:r>
          <w:t xml:space="preserve">29</w:t>
        </w:r>
        <w:r>
          <w:fldChar w:fldCharType="end"/>
        </w:r>
      </w:hyperlink>
    </w:p>
    <w:p>
      <w:pPr>
        <w:pStyle w:val="12"/>
      </w:pPr>
      <w:r>
        <w:fldChar w:fldCharType="end"/>
      </w:r>
    </w:p>
    <w:p>
      <w:pPr>
        <w:rPr>
          <w:b/>
        </w:rPr>
      </w:pPr>
      <w:r>
        <w:rPr>
          <w:b/>
        </w:rPr>
        <w:br w:type="page" w:clear="all"/>
      </w:r>
    </w:p>
    <w:p>
      <w:pPr>
        <w:pStyle w:val="1"/>
        <w:numPr>
          <w:numId w:val="38"/>
          <w:ilvl w:val="0"/>
        </w:numPr>
        <w:rPr>
          <w:bCs w:val="0"/>
        </w:rPr>
      </w:pPr>
      <w:bookmarkStart w:id="0" w:name="_Toc10707068"/>
      <w:r>
        <w:rPr>
          <w:bCs w:val="0"/>
        </w:rPr>
        <w:t xml:space="preserve">ИНФОРМАЦИЯ О ДОКУМЕНТЕ</w:t>
      </w:r>
      <w:bookmarkEnd w:id="0"/>
    </w:p>
    <w:p/>
    <w:tbl>
      <w:tblPr>
        <w:tblW w:w="9719" w:type="dxa"/>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2967"/>
        <w:gridCol w:w="6752"/>
      </w:tblGrid>
      <w:tr>
        <w:trPr>
          <w:trHeight w:val="1252"/>
        </w:trPr>
        <w:tc>
          <w:tcPr>
            <w:tcW w:w="2967" w:type="dxa"/>
            <w:shd w:val="clear" w:color="auto" w:fill="ffffff"/>
            <w:tcMar>
              <w:left w:w="57" w:type="dxa"/>
              <w:right w:w="57" w:type="dxa"/>
            </w:tcMar>
            <w:vAlign w:val="center"/>
          </w:tcPr>
          <w:p>
            <w:pPr>
              <w:pStyle w:val="m5"/>
              <w:rPr>
                <w:b/>
                <w:sz w:val="24"/>
              </w:rPr>
            </w:pPr>
            <w:r>
              <w:rPr>
                <w:b/>
                <w:sz w:val="24"/>
              </w:rPr>
              <w:t xml:space="preserve">Краткое описание документа</w:t>
            </w:r>
          </w:p>
        </w:tc>
        <w:tc>
          <w:tcPr>
            <w:tcW w:w="6752" w:type="dxa"/>
            <w:vAlign w:val="center"/>
          </w:tcPr>
          <w:p>
            <w:pPr>
              <w:pStyle w:val="m0"/>
              <w:jc w:val="both"/>
              <w:rPr>
                <w:b w:val="0"/>
                <w:sz w:val="24"/>
              </w:rPr>
            </w:pPr>
            <w:r>
              <w:rPr>
                <w:b w:val="0"/>
                <w:sz w:val="24"/>
              </w:rPr>
              <w:t xml:space="preserve">Определяет перечень аварий и нарушений в работе энергооборудования, подлежащих учету и расследованию. </w:t>
            </w:r>
          </w:p>
          <w:p>
            <w:pPr>
              <w:pStyle w:val="m0"/>
              <w:jc w:val="both"/>
              <w:rPr>
                <w:b w:val="0"/>
                <w:sz w:val="24"/>
              </w:rPr>
            </w:pPr>
            <w:r>
              <w:rPr>
                <w:b w:val="0"/>
                <w:sz w:val="24"/>
              </w:rPr>
              <w:t xml:space="preserve">Устанавливает порядок расчета и классификации составляющих экономического ущерба от аварий и нарушений в работе энергооборудования.</w:t>
            </w:r>
          </w:p>
        </w:tc>
      </w:tr>
      <w:tr>
        <w:trPr>
          <w:trHeight w:val="870"/>
        </w:trPr>
        <w:tc>
          <w:tcPr>
            <w:tcW w:w="2967" w:type="dxa"/>
            <w:shd w:val="clear" w:color="auto" w:fill="ffffff"/>
            <w:tcMar>
              <w:left w:w="57" w:type="dxa"/>
              <w:right w:w="57" w:type="dxa"/>
            </w:tcMar>
            <w:vAlign w:val="center"/>
          </w:tcPr>
          <w:p>
            <w:pPr>
              <w:pStyle w:val="m5"/>
              <w:rPr>
                <w:b/>
                <w:sz w:val="24"/>
              </w:rPr>
            </w:pPr>
            <w:r>
              <w:rPr>
                <w:b/>
                <w:sz w:val="24"/>
              </w:rPr>
              <w:t xml:space="preserve">Корпоративный стандарт </w:t>
            </w:r>
          </w:p>
        </w:tc>
        <w:tc>
          <w:tcPr>
            <w:tcW w:w="6752" w:type="dxa"/>
            <w:vAlign w:val="center"/>
          </w:tcPr>
          <w:p>
            <w:pPr>
              <w:pStyle w:val="m5"/>
              <w:ind w:left="184"/>
              <w:rPr>
                <w:sz w:val="24"/>
              </w:rPr>
            </w:pPr>
            <w:r>
              <w:rPr>
                <w:sz w:val="24"/>
              </w:rPr>
              <w:t xml:space="preserve">да</w:t>
            </w:r>
          </w:p>
        </w:tc>
      </w:tr>
      <w:tr>
        <w:trPr>
          <w:trHeight w:val="840"/>
        </w:trPr>
        <w:tc>
          <w:tcPr>
            <w:tcW w:w="2967" w:type="dxa"/>
            <w:shd w:val="clear" w:color="auto" w:fill="ffffff"/>
            <w:tcMar>
              <w:left w:w="57" w:type="dxa"/>
              <w:right w:w="57" w:type="dxa"/>
            </w:tcMar>
            <w:vAlign w:val="center"/>
          </w:tcPr>
          <w:p>
            <w:pPr>
              <w:pStyle w:val="m5"/>
              <w:rPr>
                <w:b/>
                <w:sz w:val="24"/>
              </w:rPr>
            </w:pPr>
            <w:r>
              <w:rPr>
                <w:b/>
                <w:sz w:val="24"/>
              </w:rPr>
              <w:t xml:space="preserve">Ограничение доступа</w:t>
            </w:r>
          </w:p>
        </w:tc>
        <w:tc>
          <w:tcPr>
            <w:tcW w:w="6752" w:type="dxa"/>
            <w:vAlign w:val="center"/>
          </w:tcPr>
          <w:p>
            <w:pPr>
              <w:pStyle w:val="m5"/>
              <w:ind w:left="184"/>
              <w:rPr>
                <w:sz w:val="24"/>
              </w:rPr>
            </w:pPr>
            <w:r>
              <w:rPr>
                <w:sz w:val="24"/>
              </w:rPr>
              <w:t xml:space="preserve">нет</w:t>
            </w:r>
          </w:p>
        </w:tc>
      </w:tr>
    </w:tbl>
    <w:p>
      <w:pPr>
        <w:ind w:left="-360"/>
        <w:jc w:val="center"/>
        <w:rPr>
          <w:szCs w:val="28"/>
        </w:rPr>
      </w:pPr>
    </w:p>
    <w:p>
      <w:pPr>
        <w:pStyle w:val="1"/>
        <w:numPr>
          <w:numId w:val="0"/>
          <w:ilvl w:val="0"/>
        </w:numPr>
        <w:ind w:left="540"/>
        <w:rPr>
          <w:bCs w:val="0"/>
        </w:rPr>
      </w:pPr>
    </w:p>
    <w:p>
      <w:pPr>
        <w:pStyle w:val="1"/>
        <w:numPr>
          <w:numId w:val="38"/>
          <w:ilvl w:val="0"/>
        </w:numPr>
        <w:rPr>
          <w:bCs w:val="0"/>
        </w:rPr>
      </w:pPr>
      <w:bookmarkStart w:id="1" w:name="_Toc10707069"/>
      <w:r>
        <w:rPr>
          <w:bCs w:val="0"/>
        </w:rPr>
        <w:t xml:space="preserve">ОТВЕТСТВЕННОСТЬ И ОБЛАСТЬ ПРИМЕНЕНИЯ</w:t>
      </w:r>
      <w:bookmarkEnd w:id="1"/>
    </w:p>
    <w:p/>
    <w:p>
      <w:pPr>
        <w:pStyle w:val="m4"/>
      </w:pPr>
      <w:r>
        <w:t xml:space="preserve">Настоящий документ регламентирует деятельность следующих подразделений и должностных лиц, включая исполняющих роли:</w:t>
      </w:r>
    </w:p>
    <w:tbl>
      <w:tblPr>
        <w:tblW w:w="9748"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9748"/>
      </w:tblGrid>
      <w:tr>
        <w:trPr>
          <w:trHeight w:val="284"/>
          <w:tblHeader/>
        </w:trPr>
        <w:tc>
          <w:tcPr>
            <w:tcW w:w="9748" w:type="dxa"/>
            <w:shd w:val="clear" w:color="auto" w:fill="d9d9d9"/>
            <w:vAlign w:val="center"/>
          </w:tcPr>
          <w:p>
            <w:pPr>
              <w:pStyle w:val="m0"/>
              <w:keepNext w:val="0"/>
              <w:rPr>
                <w:highlight w:val="yellow"/>
              </w:rPr>
            </w:pPr>
            <w:r>
              <w:t xml:space="preserve">Наименование подразделения/должности/роли</w:t>
            </w:r>
          </w:p>
        </w:tc>
      </w:tr>
      <w:tr>
        <w:trPr>
          <w:trHeight w:val="411"/>
        </w:trPr>
        <w:tc>
          <w:tcPr>
            <w:tcW w:w="9748" w:type="dxa"/>
            <w:vAlign w:val="center"/>
          </w:tcPr>
          <w:p>
            <w:pPr>
              <w:pStyle w:val="m5"/>
            </w:pPr>
            <w:r>
              <w:t xml:space="preserve">Руководители подразделений Общества </w:t>
            </w:r>
          </w:p>
        </w:tc>
      </w:tr>
      <w:tr>
        <w:trPr>
          <w:trHeight w:val="411"/>
        </w:trPr>
        <w:tc>
          <w:tcPr>
            <w:tcW w:w="9748" w:type="dxa"/>
            <w:vAlign w:val="center"/>
          </w:tcPr>
          <w:p>
            <w:pPr>
              <w:pStyle w:val="m5"/>
            </w:pPr>
            <w:r>
              <w:rPr>
                <w:bCs/>
              </w:rPr>
              <w:t xml:space="preserve">Работники, участвующие в процессах учета, расследования, расчета экономического ущерба  </w:t>
            </w:r>
          </w:p>
        </w:tc>
      </w:tr>
    </w:tbl>
    <w:p/>
    <w:p>
      <w:pPr>
        <w:pStyle w:val="1"/>
        <w:numPr>
          <w:numId w:val="38"/>
          <w:ilvl w:val="0"/>
        </w:numPr>
        <w:rPr>
          <w:bCs w:val="0"/>
        </w:rPr>
      </w:pPr>
      <w:bookmarkStart w:id="2" w:name="_Toc10707070"/>
      <w:r>
        <w:rPr>
          <w:bCs w:val="0"/>
        </w:rPr>
        <w:t xml:space="preserve">ОПРЕДЕЛЕНИЯ РОЛЕЙ И ТЕРМИНОВ</w:t>
      </w:r>
      <w:bookmarkEnd w:id="2"/>
    </w:p>
    <w:p>
      <w:pPr>
        <w:pStyle w:val="m4"/>
      </w:pPr>
    </w:p>
    <w:tbl>
      <w:tblPr>
        <w:tblW w:w="9748"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3402"/>
        <w:gridCol w:w="6346"/>
      </w:tblGrid>
      <w:tr>
        <w:trPr>
          <w:trHeight w:val="284"/>
          <w:tblHeader/>
        </w:trPr>
        <w:tc>
          <w:tcPr>
            <w:tcW w:w="3402" w:type="dxa"/>
            <w:shd w:val="clear" w:color="auto" w:fill="d9d9d9"/>
            <w:vAlign w:val="center"/>
          </w:tcPr>
          <w:p>
            <w:pPr>
              <w:pStyle w:val="m0"/>
              <w:rPr>
                <w:highlight w:val="yellow"/>
              </w:rPr>
            </w:pPr>
            <w:r>
              <w:t xml:space="preserve">Наименование роли</w:t>
            </w:r>
          </w:p>
        </w:tc>
        <w:tc>
          <w:tcPr>
            <w:tcW w:w="6346" w:type="dxa"/>
            <w:shd w:val="clear" w:color="auto" w:fill="d9d9d9"/>
            <w:vAlign w:val="center"/>
          </w:tcPr>
          <w:p>
            <w:pPr>
              <w:pStyle w:val="m0"/>
            </w:pPr>
            <w:r>
              <w:t xml:space="preserve">Определение роли</w:t>
            </w:r>
          </w:p>
        </w:tc>
      </w:tr>
      <w:tr>
        <w:trPr>
          <w:trHeight w:val="284"/>
        </w:trPr>
        <w:tc>
          <w:tcPr>
            <w:tcW w:w="3402" w:type="dxa"/>
            <w:vAlign w:val="center"/>
          </w:tcPr>
          <w:p>
            <w:pPr>
              <w:pStyle w:val="m5"/>
              <w:rPr>
                <w:bCs/>
              </w:rPr>
            </w:pPr>
            <w:r>
              <w:rPr>
                <w:bCs/>
              </w:rPr>
              <w:t xml:space="preserve">Работники, участвующие в процессах учета, расследования, расчета экономического ущерба  </w:t>
            </w:r>
          </w:p>
        </w:tc>
        <w:tc>
          <w:tcPr>
            <w:tcW w:w="6346" w:type="dxa"/>
            <w:vAlign w:val="center"/>
          </w:tcPr>
          <w:p>
            <w:pPr>
              <w:pStyle w:val="m5"/>
              <w:rPr>
                <w:bCs/>
              </w:rPr>
            </w:pPr>
            <w:r>
              <w:rPr>
                <w:bCs/>
              </w:rPr>
              <w:t xml:space="preserve">Работники, участвующие в процессах:</w:t>
            </w:r>
          </w:p>
          <w:p>
            <w:pPr>
              <w:pStyle w:val="m5"/>
              <w:rPr>
                <w:bCs/>
              </w:rPr>
            </w:pPr>
            <w:r>
              <w:rPr>
                <w:bCs/>
              </w:rPr>
              <w:t xml:space="preserve">- учета и расследования аварий и нарушений в работе энергооборудования;</w:t>
            </w:r>
          </w:p>
          <w:p>
            <w:pPr>
              <w:pStyle w:val="m5"/>
              <w:rPr>
                <w:bCs/>
              </w:rPr>
            </w:pPr>
            <w:r>
              <w:rPr>
                <w:bCs/>
              </w:rPr>
              <w:t xml:space="preserve">- расчета экономического ущерба от нарушений в работе энергооборудования и аварий при эксплуатации производственных фондов;</w:t>
            </w:r>
          </w:p>
          <w:p>
            <w:pPr>
              <w:pStyle w:val="m5"/>
              <w:rPr>
                <w:bCs/>
              </w:rPr>
            </w:pPr>
            <w:r>
              <w:rPr>
                <w:bCs/>
              </w:rPr>
              <w:t xml:space="preserve">- подготовки отчетных сведений по авариям и нарушениям в работе энергооборудования.</w:t>
            </w:r>
          </w:p>
        </w:tc>
      </w:tr>
    </w:tbl>
    <w:p>
      <w:pPr>
        <w:pStyle w:val="m4"/>
      </w:pPr>
    </w:p>
    <w:tbl>
      <w:tblPr>
        <w:tblW w:w="9748"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4A0" w:firstRow="1" w:lastRow="0" w:firstColumn="1" w:lastColumn="0" w:noHBand="0" w:noVBand="1"/>
      </w:tblPr>
      <w:tblGrid>
        <w:gridCol w:w="2814"/>
        <w:gridCol w:w="1424"/>
        <w:gridCol w:w="5510"/>
      </w:tblGrid>
      <w:tr>
        <w:trPr>
          <w:trHeight w:val="286"/>
          <w:tblHeader/>
        </w:trPr>
        <w:tc>
          <w:tcPr>
            <w:tcW w:w="2814" w:type="dxa"/>
            <w:tcBorders>
              <w:top w:val="single" w:color="auto" w:sz="4" w:space="0"/>
              <w:left w:val="single" w:color="auto" w:sz="4" w:space="0"/>
              <w:bottom w:val="single" w:color="auto" w:sz="4" w:space="0"/>
              <w:right w:val="single" w:color="auto" w:sz="4" w:space="0"/>
            </w:tcBorders>
            <w:shd w:val="clear" w:color="auto" w:fill="d9d9d9"/>
            <w:vAlign w:val="center"/>
            <w:hideMark/>
          </w:tcPr>
          <w:p>
            <w:pPr>
              <w:pStyle w:val="m0"/>
              <w:rPr>
                <w:highlight w:val="yellow"/>
              </w:rPr>
            </w:pPr>
            <w:r>
              <w:t xml:space="preserve">Наименование термина</w:t>
            </w:r>
          </w:p>
        </w:tc>
        <w:tc>
          <w:tcPr>
            <w:tcW w:w="1424" w:type="dxa"/>
            <w:tcBorders>
              <w:top w:val="single" w:color="auto" w:sz="4" w:space="0"/>
              <w:left w:val="single" w:color="auto" w:sz="4" w:space="0"/>
              <w:bottom w:val="single" w:color="auto" w:sz="4" w:space="0"/>
              <w:right w:val="single" w:color="auto" w:sz="4" w:space="0"/>
            </w:tcBorders>
            <w:shd w:val="clear" w:color="auto" w:fill="d9d9d9"/>
            <w:vAlign w:val="center"/>
            <w:hideMark/>
          </w:tcPr>
          <w:p>
            <w:pPr>
              <w:pStyle w:val="m0"/>
            </w:pPr>
            <w:r>
              <w:t xml:space="preserve">Сокращение</w:t>
            </w:r>
          </w:p>
        </w:tc>
        <w:tc>
          <w:tcPr>
            <w:tcW w:w="5510" w:type="dxa"/>
            <w:tcBorders>
              <w:top w:val="single" w:color="auto" w:sz="4" w:space="0"/>
              <w:left w:val="single" w:color="auto" w:sz="4" w:space="0"/>
              <w:bottom w:val="single" w:color="auto" w:sz="4" w:space="0"/>
              <w:right w:val="single" w:color="auto" w:sz="4" w:space="0"/>
            </w:tcBorders>
            <w:shd w:val="clear" w:color="auto" w:fill="d9d9d9"/>
            <w:vAlign w:val="center"/>
            <w:hideMark/>
          </w:tcPr>
          <w:p>
            <w:pPr>
              <w:pStyle w:val="m0"/>
            </w:pPr>
            <w:r>
              <w:t xml:space="preserve">Определение термина (расшифровка сокращения)</w:t>
            </w:r>
          </w:p>
        </w:tc>
      </w:tr>
      <w:tr>
        <w:trPr>
          <w:trHeight w:val="286"/>
        </w:trPr>
        <w:tc>
          <w:tcPr>
            <w:tcW w:w="9748" w:type="dxa"/>
            <w:gridSpan w:val="3"/>
            <w:tcBorders>
              <w:top w:val="single" w:color="auto" w:sz="4" w:space="0"/>
              <w:left w:val="single" w:color="auto" w:sz="4" w:space="0"/>
              <w:bottom w:val="single" w:color="auto" w:sz="4" w:space="0"/>
              <w:right w:val="single" w:color="auto" w:sz="4" w:space="0"/>
            </w:tcBorders>
            <w:vAlign w:val="center"/>
            <w:hideMark/>
          </w:tcPr>
          <w:p>
            <w:pPr>
              <w:pStyle w:val="m5"/>
              <w:jc w:val="both"/>
              <w:rPr>
                <w:bCs/>
              </w:rPr>
            </w:pPr>
            <w:r>
              <w:rPr>
                <w:b/>
                <w:bCs/>
              </w:rPr>
              <w:t xml:space="preserve">Вводимые определения: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Источник тепловой энергии (теплоты)</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Теплогенерирующая энергоустановка или их совокупность, в которой производится нагрев теплоносителя за счет передачи теплоты сжигаемого топлива, а также путем </w:t>
            </w:r>
            <w:r>
              <w:rPr>
                <w:bCs/>
              </w:rPr>
              <w:t xml:space="preserve">электронагрева</w:t>
            </w:r>
            <w:r>
              <w:rPr>
                <w:bCs/>
              </w:rPr>
              <w:t xml:space="preserve"> или другими, в том числе нетрадиционными способами, участвующая в теплоснабжении потребителей.</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pPr>
            <w:r>
              <w:t xml:space="preserve">Нарушение в работе энергооборудования</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color w:val="222222"/>
                <w:szCs w:val="20"/>
                <w:shd w:val="clear" w:color="auto" w:fill="ffffff"/>
              </w:rPr>
            </w:pPr>
            <w:r>
              <w:rPr>
                <w:color w:val="222222"/>
                <w:szCs w:val="20"/>
                <w:shd w:val="clear" w:color="auto" w:fill="ffffff"/>
              </w:rPr>
              <w:t xml:space="preserve">Действия или бездействия персонала, недопустимые отклонения технического состояния, </w:t>
            </w:r>
            <w:r>
              <w:rPr>
                <w:bCs/>
                <w:color w:val="222222"/>
                <w:szCs w:val="20"/>
                <w:shd w:val="clear" w:color="auto" w:fill="ffffff"/>
              </w:rPr>
              <w:t xml:space="preserve">технологических</w:t>
            </w:r>
            <w:r>
              <w:rPr>
                <w:color w:val="222222"/>
                <w:szCs w:val="20"/>
                <w:shd w:val="clear" w:color="auto" w:fill="ffffff"/>
              </w:rPr>
              <w:t xml:space="preserve"> параметров работы энергоустановки (энергооборудования), ее элементов, вызвавшие вывод их из работы (либо изменение </w:t>
            </w:r>
            <w:r>
              <w:rPr>
                <w:color w:val="222222"/>
                <w:szCs w:val="20"/>
                <w:shd w:val="clear" w:color="auto" w:fill="ffffff"/>
              </w:rPr>
              <w:t xml:space="preserve">эксплуатационного состояния) или повреждение во время эксплуатации, </w:t>
            </w:r>
            <w:r>
              <w:rPr>
                <w:bCs/>
                <w:color w:val="222222"/>
                <w:szCs w:val="20"/>
                <w:shd w:val="clear" w:color="auto" w:fill="ffffff"/>
              </w:rPr>
              <w:t xml:space="preserve">нарушение</w:t>
            </w:r>
            <w:r>
              <w:rPr>
                <w:color w:val="222222"/>
                <w:szCs w:val="20"/>
                <w:shd w:val="clear" w:color="auto" w:fill="ffffff"/>
              </w:rPr>
              <w:t xml:space="preserve"> показателей качества электрической или тепловой энергии, вынужденное отключение или ограничение работоспособности оборудования, повреждение зданий и сооружений, </w:t>
            </w:r>
            <w:r>
              <w:rPr>
                <w:rStyle w:val="w"/>
                <w:color w:val="000000"/>
                <w:szCs w:val="20"/>
                <w:shd w:val="clear" w:color="auto" w:fill="ffffff"/>
              </w:rPr>
              <w:t xml:space="preserve">технологические</w:t>
            </w:r>
            <w:r>
              <w:rPr>
                <w:color w:val="000000"/>
                <w:szCs w:val="20"/>
                <w:shd w:val="clear" w:color="auto" w:fill="ffffff"/>
              </w:rPr>
              <w:t xml:space="preserve"> </w:t>
            </w:r>
            <w:r>
              <w:rPr>
                <w:rStyle w:val="w"/>
                <w:color w:val="000000"/>
                <w:szCs w:val="20"/>
                <w:shd w:val="clear" w:color="auto" w:fill="ffffff"/>
              </w:rPr>
              <w:t xml:space="preserve">нарушения в</w:t>
            </w:r>
            <w:r>
              <w:rPr>
                <w:color w:val="000000"/>
                <w:szCs w:val="20"/>
                <w:shd w:val="clear" w:color="auto" w:fill="ffffff"/>
              </w:rPr>
              <w:t xml:space="preserve"> </w:t>
            </w:r>
            <w:r>
              <w:rPr>
                <w:rStyle w:val="w"/>
                <w:color w:val="000000"/>
                <w:szCs w:val="20"/>
                <w:shd w:val="clear" w:color="auto" w:fill="ffffff"/>
              </w:rPr>
              <w:t xml:space="preserve">работе энергооборудования</w:t>
            </w:r>
            <w:r>
              <w:rPr>
                <w:color w:val="000000"/>
                <w:szCs w:val="20"/>
                <w:shd w:val="clear" w:color="auto" w:fill="ffffff"/>
              </w:rPr>
              <w:t xml:space="preserve">, </w:t>
            </w:r>
            <w:r>
              <w:rPr>
                <w:rStyle w:val="w"/>
                <w:color w:val="000000"/>
                <w:szCs w:val="20"/>
                <w:shd w:val="clear" w:color="auto" w:fill="ffffff"/>
              </w:rPr>
              <w:t xml:space="preserve">которые привели к дополнительным вредным или опасным факторам</w:t>
            </w:r>
            <w:r>
              <w:rPr>
                <w:color w:val="000000"/>
                <w:szCs w:val="20"/>
                <w:shd w:val="clear" w:color="auto" w:fill="ffffff"/>
              </w:rPr>
              <w:t xml:space="preserve">, </w:t>
            </w:r>
            <w:r>
              <w:rPr>
                <w:rStyle w:val="w"/>
                <w:color w:val="000000"/>
                <w:szCs w:val="20"/>
                <w:shd w:val="clear" w:color="auto" w:fill="ffffff"/>
              </w:rPr>
              <w:t xml:space="preserve">отклонению</w:t>
            </w:r>
            <w:r>
              <w:rPr>
                <w:color w:val="000000"/>
                <w:szCs w:val="20"/>
                <w:shd w:val="clear" w:color="auto" w:fill="ffffff"/>
              </w:rPr>
              <w:t xml:space="preserve"> </w:t>
            </w:r>
            <w:r>
              <w:rPr>
                <w:rStyle w:val="w"/>
                <w:color w:val="000000"/>
                <w:szCs w:val="20"/>
                <w:shd w:val="clear" w:color="auto" w:fill="ffffff"/>
              </w:rPr>
              <w:t xml:space="preserve">параметров</w:t>
            </w:r>
            <w:r>
              <w:rPr>
                <w:color w:val="000000"/>
                <w:szCs w:val="20"/>
                <w:shd w:val="clear" w:color="auto" w:fill="ffffff"/>
              </w:rPr>
              <w:t xml:space="preserve"> </w:t>
            </w:r>
            <w:r>
              <w:rPr>
                <w:rStyle w:val="w"/>
                <w:color w:val="000000"/>
                <w:szCs w:val="20"/>
                <w:shd w:val="clear" w:color="auto" w:fill="ffffff"/>
              </w:rPr>
              <w:t xml:space="preserve">энергоносителя</w:t>
            </w:r>
            <w:r>
              <w:rPr>
                <w:color w:val="000000"/>
                <w:szCs w:val="20"/>
                <w:shd w:val="clear" w:color="auto" w:fill="ffffff"/>
              </w:rPr>
              <w:t xml:space="preserve">, </w:t>
            </w:r>
            <w:r>
              <w:rPr>
                <w:rStyle w:val="w"/>
                <w:color w:val="000000"/>
                <w:szCs w:val="20"/>
                <w:shd w:val="clear" w:color="auto" w:fill="ffffff"/>
              </w:rPr>
              <w:t xml:space="preserve">экологическое воздействие</w:t>
            </w:r>
            <w:r>
              <w:rPr>
                <w:color w:val="000000"/>
                <w:szCs w:val="20"/>
                <w:shd w:val="clear" w:color="auto" w:fill="ffffff"/>
              </w:rPr>
              <w:t xml:space="preserve">,</w:t>
            </w:r>
            <w:r>
              <w:rPr>
                <w:rStyle w:val="w"/>
                <w:color w:val="000000"/>
                <w:szCs w:val="20"/>
                <w:shd w:val="clear" w:color="auto" w:fill="ffffff"/>
              </w:rPr>
              <w:t xml:space="preserve"> другие факторы</w:t>
            </w:r>
            <w:r>
              <w:rPr>
                <w:color w:val="000000"/>
                <w:szCs w:val="20"/>
                <w:shd w:val="clear" w:color="auto" w:fill="ffffff"/>
              </w:rPr>
              <w:t xml:space="preserve"> </w:t>
            </w:r>
            <w:r>
              <w:rPr>
                <w:rStyle w:val="w"/>
                <w:color w:val="000000"/>
                <w:szCs w:val="20"/>
                <w:shd w:val="clear" w:color="auto" w:fill="ffffff"/>
              </w:rPr>
              <w:t xml:space="preserve">снижения надежности, которые не относятся к определени</w:t>
            </w:r>
            <w:r>
              <w:rPr>
                <w:rStyle w:val="w"/>
                <w:color w:val="000000"/>
                <w:szCs w:val="20"/>
                <w:shd w:val="clear" w:color="auto" w:fill="ffffff"/>
              </w:rPr>
              <w:t xml:space="preserve">ю</w:t>
            </w:r>
            <w:r>
              <w:rPr>
                <w:rStyle w:val="w"/>
                <w:color w:val="000000"/>
                <w:szCs w:val="20"/>
                <w:shd w:val="clear" w:color="auto" w:fill="ffffff"/>
              </w:rPr>
              <w:t xml:space="preserve"> аварии в электроэнергетике, аварии и инцидента на опасном производственном объекте, аварийной ситуации при теплоснабжении, но в результате которых Обществом получены финансово-экономические потери. Перечень аварий и нарушений в работе энергооборудования, подлежащих учету и расследованию, устанавливается в разделе 5 настоящей Методики.</w:t>
            </w:r>
          </w:p>
        </w:tc>
      </w:tr>
      <w:tr>
        <w:trPr>
          <w:trHeight w:val="286"/>
        </w:trPr>
        <w:tc>
          <w:tcPr>
            <w:tcW w:w="2814" w:type="dxa"/>
            <w:tcBorders>
              <w:top w:val="single" w:color="auto" w:sz="4" w:space="0"/>
              <w:left w:val="single" w:color="auto" w:sz="4" w:space="0"/>
              <w:bottom w:val="single" w:color="auto" w:sz="4" w:space="0"/>
              <w:right w:val="single" w:color="auto" w:sz="4" w:space="0"/>
            </w:tcBorders>
          </w:tcPr>
          <w:p>
            <w:pPr>
              <w:pStyle w:val="m5"/>
              <w:spacing w:line="276" w:lineRule="auto"/>
              <w:rPr>
                <w:bCs/>
              </w:rPr>
            </w:pPr>
            <w:r>
              <w:rPr>
                <w:bCs/>
              </w:rPr>
              <w:t xml:space="preserve">Сетевая вода</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tcPr>
          <w:p>
            <w:pPr>
              <w:pStyle w:val="m5"/>
              <w:spacing w:line="276" w:lineRule="auto"/>
              <w:jc w:val="both"/>
              <w:rPr>
                <w:bCs/>
              </w:rPr>
            </w:pPr>
            <w:r>
              <w:rPr>
                <w:bCs/>
              </w:rPr>
              <w:t xml:space="preserve">Специально подготовленная вода, которая используется в водяной системе теплоснабжения в качестве теплоносителя, предназначенного для покрытия нужд отопления, вентиляции и горячего водоснабжения потребителей тепловой энергии.</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Система горячего водоснабжения</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ГВС</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rFonts w:eastAsia="Calibri"/>
                <w:szCs w:val="20"/>
              </w:rPr>
              <w:t xml:space="preserve">Комплекс технологически связанных между собой инженерных сооружений или отдельные сооружения и устройства, предназначенные для горячего водоснабжения потребителей, путем нагрева холодной воды без отбора горячей воды из тепловой сети с использованием центрального или индивидуального теплового пункта (далее - закрытая система горячего водоснабжения) либо путем отбора горячей воды из тепловой сети (далее - открытая система горячего водоснабжения) или из сетей горячего водоснабжения.</w:t>
            </w:r>
          </w:p>
        </w:tc>
      </w:tr>
      <w:tr>
        <w:trPr>
          <w:trHeight w:val="286"/>
        </w:trPr>
        <w:tc>
          <w:tcPr>
            <w:tcW w:w="2814" w:type="dxa"/>
            <w:tcBorders>
              <w:top w:val="single" w:color="auto" w:sz="4" w:space="0"/>
              <w:left w:val="single" w:color="auto" w:sz="4" w:space="0"/>
              <w:bottom w:val="single" w:color="auto" w:sz="4" w:space="0"/>
              <w:right w:val="single" w:color="auto" w:sz="4" w:space="0"/>
            </w:tcBorders>
          </w:tcPr>
          <w:p>
            <w:pPr>
              <w:pStyle w:val="m5"/>
              <w:spacing w:line="276" w:lineRule="auto"/>
              <w:rPr>
                <w:bCs/>
              </w:rPr>
            </w:pPr>
            <w:r>
              <w:rPr>
                <w:bCs/>
              </w:rPr>
              <w:t xml:space="preserve">Система теплопотребления</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tcPr>
          <w:p>
            <w:pPr>
              <w:pStyle w:val="m5"/>
              <w:spacing w:line="276" w:lineRule="auto"/>
              <w:jc w:val="both"/>
              <w:rPr>
                <w:bCs/>
              </w:rPr>
            </w:pPr>
            <w:r>
              <w:rPr>
                <w:bCs/>
              </w:rPr>
              <w:t xml:space="preserve">Комплекс тепловых энергоустановок с соединительными трубопроводами и (или) тепловыми сетями, которые предназначены для удовлетворения одного или нескольких видов тепловой нагрузки.</w:t>
            </w:r>
          </w:p>
        </w:tc>
      </w:tr>
      <w:tr>
        <w:trPr>
          <w:trHeight w:val="286"/>
        </w:trPr>
        <w:tc>
          <w:tcPr>
            <w:tcW w:w="2814" w:type="dxa"/>
            <w:tcBorders>
              <w:top w:val="single" w:color="auto" w:sz="4" w:space="0"/>
              <w:left w:val="single" w:color="auto" w:sz="4" w:space="0"/>
              <w:bottom w:val="single" w:color="auto" w:sz="4" w:space="0"/>
              <w:right w:val="single" w:color="auto" w:sz="4" w:space="0"/>
            </w:tcBorders>
          </w:tcPr>
          <w:p>
            <w:pPr>
              <w:pStyle w:val="m5"/>
              <w:spacing w:line="276" w:lineRule="auto"/>
              <w:rPr>
                <w:bCs/>
              </w:rPr>
            </w:pPr>
            <w:r>
              <w:rPr>
                <w:bCs/>
              </w:rPr>
              <w:t xml:space="preserve">Система теплоснабжения</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tcPr>
          <w:p>
            <w:pPr>
              <w:pStyle w:val="m5"/>
              <w:spacing w:line="276" w:lineRule="auto"/>
              <w:jc w:val="both"/>
              <w:rPr>
                <w:bCs/>
              </w:rPr>
            </w:pPr>
            <w:r>
              <w:rPr>
                <w:bCs/>
              </w:rPr>
              <w:t xml:space="preserve">Совокупность взаимосвязанных источников теплоты, тепловых сетей и систем теплопотребления.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Тепловая энергоустановка</w:t>
            </w:r>
          </w:p>
          <w:p>
            <w:pPr>
              <w:pStyle w:val="m5"/>
              <w:spacing w:line="276" w:lineRule="auto"/>
              <w:rPr>
                <w:bCs/>
              </w:rPr>
            </w:pP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ТЭУ</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Энергоустановка, предназначенная для производства или преобразования, передачи, транспортирования, накопления, распределения или потребления тепловой энергии и теплоносителя.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Тепловая сеть</w:t>
            </w:r>
          </w:p>
          <w:p>
            <w:pPr>
              <w:pStyle w:val="m5"/>
              <w:spacing w:line="276" w:lineRule="auto"/>
              <w:rPr>
                <w:bCs/>
              </w:rPr>
            </w:pP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ТС</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Совокупность устройств, предназначенных для транспортирования, передачи и распределения теплоносителя и тепловой энергии.</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Теплопотребляющая</w:t>
            </w:r>
            <w:r>
              <w:rPr>
                <w:bCs/>
              </w:rPr>
              <w:t xml:space="preserve"> энергоустановка</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rFonts w:eastAsia="Calibri"/>
                <w:szCs w:val="20"/>
              </w:rPr>
              <w:t xml:space="preserve">Тепловая энергоустановка или комплекс устройств, предназначенные для использования теплоты и теплоносителя на нужды отопления, вентиляции, кондиционирования, горячего водоснабжения и технологические нужды.</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Электрическая сеть</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rFonts w:eastAsia="Calibri"/>
                <w:szCs w:val="20"/>
              </w:rPr>
            </w:pPr>
            <w:r>
              <w:rPr>
                <w:bCs/>
              </w:rPr>
              <w:t xml:space="preserve">Совокупность подстанций, распределительных устройств и соединяющих их электрических линий, размещенных на территории района, населенного пункта, потребителя электрической энергии.</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Энергооборудование</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rFonts w:eastAsia="Calibri"/>
                <w:szCs w:val="20"/>
              </w:rPr>
            </w:pPr>
            <w:r>
              <w:rPr>
                <w:bCs/>
              </w:rPr>
              <w:t xml:space="preserve">Оборудование и сооружения, предназначенные либо используемые (участвующие в технологическом процессе) для производства или преобразования, передачи, накопления, распределения или потребления тепловой и электрической энергии, в том числе при транспортировании рабочей среды к потребителям.</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Управляющая органи</w:t>
            </w:r>
            <w:r>
              <w:rPr>
                <w:bCs/>
              </w:rPr>
              <w:t xml:space="preserve">з</w:t>
            </w:r>
            <w:r>
              <w:rPr>
                <w:bCs/>
              </w:rPr>
              <w:t xml:space="preserve">ация</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ООО «Интер РАО – Управление </w:t>
            </w:r>
            <w:r>
              <w:rPr>
                <w:bCs/>
              </w:rPr>
              <w:t xml:space="preserve">электрогенерацией</w:t>
            </w:r>
            <w:r>
              <w:rPr>
                <w:bCs/>
              </w:rPr>
              <w:t xml:space="preserve">»</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Общество</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АО «Интер РАО – </w:t>
            </w:r>
            <w:r>
              <w:rPr>
                <w:bCs/>
              </w:rPr>
              <w:t xml:space="preserve">Электрогенерация</w:t>
            </w:r>
            <w:r>
              <w:rPr>
                <w:bCs/>
              </w:rPr>
              <w:t xml:space="preserve">»</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Филиал</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Филиал АО «Интер РАО – </w:t>
            </w:r>
            <w:r>
              <w:rPr>
                <w:bCs/>
              </w:rPr>
              <w:t xml:space="preserve">Электрогенерация</w:t>
            </w:r>
            <w:r>
              <w:rPr>
                <w:bCs/>
              </w:rPr>
              <w:t xml:space="preserve">», непосредственно осуществляющий производство, передачу или распределение электрической (тепловой) энергии (электростанции, предприятия тепловых сетей)</w:t>
            </w:r>
          </w:p>
        </w:tc>
      </w:tr>
      <w:tr>
        <w:trPr>
          <w:trHeight w:val="286"/>
        </w:trPr>
        <w:tc>
          <w:tcPr>
            <w:tcW w:w="9748" w:type="dxa"/>
            <w:gridSpan w:val="3"/>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rFonts w:eastAsia="Calibri"/>
                <w:szCs w:val="20"/>
                <w:highlight w:val="yellow"/>
              </w:rPr>
            </w:pPr>
            <w:r>
              <w:rPr>
                <w:b/>
                <w:bCs/>
              </w:rPr>
              <w:t xml:space="preserve">Действующие определения: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aff2"/>
              <w:jc w:val="left"/>
              <w:rPr>
                <w:b w:val="0"/>
                <w:sz w:val="20"/>
              </w:rPr>
            </w:pPr>
            <w:r>
              <w:rPr>
                <w:b w:val="0"/>
                <w:sz w:val="20"/>
              </w:rPr>
              <w:t xml:space="preserve">Авария</w:t>
            </w:r>
          </w:p>
          <w:p>
            <w:pPr>
              <w:pStyle w:val="m5"/>
              <w:spacing w:line="276" w:lineRule="auto"/>
              <w:rPr>
                <w:bCs/>
              </w:rPr>
            </w:pPr>
            <w:r>
              <w:rPr>
                <w:bCs/>
              </w:rPr>
              <w:t xml:space="preserve">(в электроэнергетике)</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Технологические нарушения на объекте электроэнергетики и (или) энергопринимающей установке, приведшие к разрушению или повреждению зданий, сооружений и (или) технических устройств (оборудования) объекта электроэнергетики и (или) энергопринимающей установки, неконтролируемому взрыву, пожару и (или) выбросу опасных веществ, отклонению от установленного технологического режима работы объектов электроэнергетики и (или) энергопринимающих установок, нарушению в работе релейной защиты и автоматики, автоматизированных систем оперативно-диспетчерского управления в электроэнергетике или оперативно-технологического управления либо обеспечивающих их функционирование систем связи, полному или частичному ограничению режима потребления электрической энергии (мощности), возникновению или угрозе возникновения аварийного электроэнергетического режима работы энергосистемы.</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Аварийная ситуация при теплоснабжении</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Технологическое нарушение, приведшее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(отпуска) тепловой энергии.</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aff2"/>
              <w:spacing w:line="228" w:lineRule="auto"/>
              <w:jc w:val="left"/>
              <w:rPr>
                <w:b w:val="0"/>
                <w:sz w:val="20"/>
              </w:rPr>
            </w:pPr>
            <w:r>
              <w:rPr>
                <w:b w:val="0"/>
                <w:sz w:val="20"/>
              </w:rPr>
              <w:t xml:space="preserve">Авария</w:t>
            </w:r>
          </w:p>
          <w:p>
            <w:pPr>
              <w:pStyle w:val="m5"/>
              <w:spacing w:line="276" w:lineRule="auto"/>
              <w:rPr>
                <w:bCs/>
              </w:rPr>
            </w:pPr>
            <w:r>
              <w:rPr>
                <w:bCs/>
              </w:rPr>
              <w:t xml:space="preserve">(на опасном производственном объекте)</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Разрушение сооружений и (или) технических устройств, применяемых на опасном производственном объекте, неконтролируемые взрыв и (или) выброс опасных веществ.</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Безвозвратные потери</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Остаточная балансовая стоимость утраченного оборудования или сооружения, не подлежащего восстановлению с учетом утилизации и проведения пожарно-спасательных работ.</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Возвратные суммы</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Суммы, возвращаемые страховыми компаниями, третьими лицами в результате претензионной, рекламационной, реализационной и прочей деятельности.</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Диспетчер Системного оператора</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Работник диспетчерского центра АО «СО ЕЭС», или его филиал, уполномоченный на выдачу диспетчерских команд и согласований.</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Затраты на возмещение социального ущерба </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Суммы, уплачиваемые гражданам (физическим лицам) в счет возмещения вреда, причиненного их жизни или здоровью в результате аварии, инцидента или технологического нарушения в работе оборудования, а также затраты на возмещение стоимости имущества граждан, пострадавших в результате аварии, инцидента или технологического нарушения в работе оборудования.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Затраты на возмещение экологического ущерба</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Сумма затрат, связанных с расходами, произведенными для восстановления (предотвращения) нанесения вреда окружающей среде и стоимости утраченных/дополнительно использованных природных ресурсов для пуска и (или восстановления) штатного режима эксплуатации, производственных фондов, а также штрафными санкциями, наложенными на юридическое лицо.</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Затраты на проведение ремонтных работ</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Возмещение всех необходимых для ремонта оборудования расходов, включая стоимость запасных частей и материалов для производства ремонтно-восстановительных работ, фонда оплаты труда ремонтного персонала, стоимость демонтажа поврежденного оборудования и/или сооружения, стоимость ремонтных и/или наладочных работ, транспортные расходы.</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aff2"/>
              <w:spacing w:line="228" w:lineRule="auto"/>
              <w:jc w:val="left"/>
              <w:rPr>
                <w:b w:val="0"/>
                <w:sz w:val="20"/>
              </w:rPr>
            </w:pPr>
            <w:r>
              <w:rPr>
                <w:b w:val="0"/>
                <w:sz w:val="20"/>
              </w:rPr>
              <w:t xml:space="preserve">Инцидент</w:t>
            </w:r>
          </w:p>
          <w:p>
            <w:pPr>
              <w:pStyle w:val="m5"/>
              <w:spacing w:line="276" w:lineRule="auto"/>
              <w:rPr>
                <w:bCs/>
              </w:rPr>
            </w:pPr>
            <w:r>
              <w:rPr>
                <w:bCs/>
              </w:rPr>
              <w:t xml:space="preserve">(на опасном производственном объекте)</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Отказ или повреждение технических устройств, применяемых на опасном производственном объекте, отклонение от установленного режима технологического процесса.</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Нормированное первичное регулирование частоты (НПРЧ)</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Часть первичного регулирования, осуществляемого в целях обеспечения гарантированного качества первичного регулирования и повышения надёжности </w:t>
            </w:r>
            <w:r>
              <w:rPr>
                <w:bCs/>
              </w:rPr>
              <w:t xml:space="preserve">энергообъединения</w:t>
            </w:r>
            <w:r>
              <w:rPr>
                <w:bCs/>
              </w:rPr>
              <w:t xml:space="preserve"> выделенными электростанциями (энергоблоками) нормированного первичного регулирования, на которых запланированы и постоянно поддерживаются резервы первичного регулирования, обеспечено их эффективное использование в соответствии с заданными для НПРЧ характеристиками (параметрами) первичного регулирования. </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Потери на балансирующем рынке</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Обязательства, возникающие на балансирующем рынке при разгрузке (недовыработке электроэнергии) по собственной инициативе.</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Потери от ухудшения технологических параметров </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Потери от ухудшения технико-экономических показателей, связанных с работой основного оборудования, в том числе при отключении вспомогательного оборудования (ПТН, ЦН, ПВД, БУ, ПСВ и пр.), приводящем к несоблюдению технологических параметров (увеличение удельного расхода топлива из-за снижения температуры питательной воды, ухудшения вакуума, </w:t>
            </w:r>
            <w:r>
              <w:rPr>
                <w:bCs/>
              </w:rPr>
              <w:t xml:space="preserve">температуры уходящих газов, перерасход электроэнергии на СН и т.д.), а также потери, возникающие при необходимости ввода из резерва, взамен выбывшей мощности, генерирующей мощности с худшими технологическими параметрами (увеличение топливной составляющей в себестоимости выработки тепло- и электроэнергии (изменение структуры топлива, ухудшение УРУТ), экологические платежи и др.).</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Пусковые затраты на топливо</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Стоимость топлива на пуски оборудования до включения в сеть или набора диспетчерской нагрузки (до окончания пусковых операций).</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Потери от частичной неоплаты установленной мощности электростанции</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Потери (убытки) за период вынужденного простоя, аварийного ремонта оборудования, вследствие снижения располагаемой мощности вследствие технологического нарушения.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Системный оператор</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Специализированная организация, осуществляющая единоличное управление технологическими режимами работы объектов электроэнергетики и уполномоченная на выдачу оперативных диспетчерских команд и распоряжений, обязательных для всех субъектов оперативно-диспетчерского управления, субъектов электроэнергетики и потребителей электрической энергии с управляемой нагрузкой. В </w:t>
            </w:r>
            <w:hyperlink r:id="rId21" w:tooltip="ЕЭС России" w:anchor="c1373" w:history="1" w:tgtFrame="_top">
              <w:r>
                <w:rPr>
                  <w:bCs/>
                </w:rPr>
                <w:t xml:space="preserve">Единой энергетической системе России</w:t>
              </w:r>
            </w:hyperlink>
            <w:r>
              <w:rPr>
                <w:bCs/>
              </w:rPr>
              <w:t xml:space="preserve"> функции Системного оператора выполняет АО «СО ЕЭС».</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Упущенная выгода</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Недополученная плановая прибыль из-за снижения объема производимой продукции вследствие технологического нарушения в работе оборудования.</w:t>
            </w:r>
          </w:p>
        </w:tc>
      </w:tr>
      <w:tr>
        <w:trPr>
          <w:trHeight w:val="286"/>
        </w:trPr>
        <w:tc>
          <w:tcPr>
            <w:tcW w:w="281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rPr>
                <w:bCs/>
              </w:rPr>
            </w:pPr>
            <w:r>
              <w:rPr>
                <w:bCs/>
              </w:rPr>
              <w:t xml:space="preserve">Ущерб</w:t>
            </w:r>
          </w:p>
        </w:tc>
        <w:tc>
          <w:tcPr>
            <w:tcW w:w="1424"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center"/>
              <w:rPr>
                <w:bCs/>
                <w:lang w:eastAsia="en-US"/>
              </w:rPr>
            </w:pPr>
            <w:r>
              <w:rPr>
                <w:bCs/>
                <w:lang w:eastAsia="en-US"/>
              </w:rPr>
              <w:t xml:space="preserve">-</w:t>
            </w:r>
          </w:p>
        </w:tc>
        <w:tc>
          <w:tcPr>
            <w:tcW w:w="5510" w:type="dxa"/>
            <w:tcBorders>
              <w:top w:val="single" w:color="auto" w:sz="4" w:space="0"/>
              <w:left w:val="single" w:color="auto" w:sz="4" w:space="0"/>
              <w:bottom w:val="single" w:color="auto" w:sz="4" w:space="0"/>
              <w:right w:val="single" w:color="auto" w:sz="4" w:space="0"/>
            </w:tcBorders>
            <w:vAlign w:val="center"/>
          </w:tcPr>
          <w:p>
            <w:pPr>
              <w:pStyle w:val="m5"/>
              <w:spacing w:line="276" w:lineRule="auto"/>
              <w:jc w:val="both"/>
              <w:rPr>
                <w:bCs/>
              </w:rPr>
            </w:pPr>
            <w:r>
              <w:rPr>
                <w:bCs/>
              </w:rPr>
              <w:t xml:space="preserve">Текущие экономические потери (убытки) в производственной и непроизводственной сфере, вред окружающей природной среде, нанесенные в результате аварии (технологического нарушения в работе оборудования) на энергетическом объекте, (в том числе теплоэнергетическом или теплосетевом объекте) и исчисляемые в денежном эквиваленте.</w:t>
            </w:r>
          </w:p>
        </w:tc>
      </w:tr>
    </w:tbl>
    <w:p/>
    <w:p>
      <w:pPr>
        <w:pStyle w:val="1"/>
        <w:numPr>
          <w:numId w:val="38"/>
          <w:ilvl w:val="0"/>
        </w:numPr>
        <w:rPr>
          <w:bCs w:val="0"/>
        </w:rPr>
      </w:pPr>
      <w:bookmarkStart w:id="3" w:name="_Toc10707071"/>
      <w:r>
        <w:rPr>
          <w:bCs w:val="0"/>
        </w:rPr>
        <w:t xml:space="preserve">ОБЩИЕ ПОЛОЖЕНИЯ</w:t>
      </w:r>
      <w:bookmarkEnd w:id="3"/>
    </w:p>
    <w:p>
      <w:pPr>
        <w:pStyle w:val="aff4"/>
        <w:numPr>
          <w:numId w:val="21"/>
          <w:ilvl w:val="0"/>
        </w:numPr>
        <w:jc w:val="both"/>
        <w:rPr>
          <w:vanish/>
          <w:sz w:val="2"/>
          <w:szCs w:val="2"/>
        </w:rPr>
      </w:pPr>
    </w:p>
    <w:p>
      <w:pPr>
        <w:pStyle w:val="aff4"/>
        <w:numPr>
          <w:numId w:val="21"/>
          <w:ilvl w:val="0"/>
        </w:numPr>
        <w:jc w:val="both"/>
        <w:rPr>
          <w:vanish/>
          <w:sz w:val="2"/>
          <w:szCs w:val="2"/>
        </w:rPr>
      </w:pPr>
    </w:p>
    <w:p>
      <w:pPr>
        <w:pStyle w:val="aff4"/>
        <w:numPr>
          <w:numId w:val="21"/>
          <w:ilvl w:val="0"/>
        </w:numPr>
        <w:jc w:val="both"/>
        <w:rPr>
          <w:vanish/>
          <w:sz w:val="2"/>
          <w:szCs w:val="2"/>
        </w:rPr>
      </w:pPr>
    </w:p>
    <w:p>
      <w:pPr>
        <w:numPr>
          <w:numId w:val="21"/>
          <w:ilvl w:val="1"/>
        </w:numPr>
        <w:spacing w:before="120" w:after="120"/>
        <w:ind w:left="0" w:firstLine="0"/>
        <w:jc w:val="both"/>
      </w:pPr>
      <w:r>
        <w:t xml:space="preserve">Настоящая Методика определяет перечень аварий и нарушений в работе энергооборудования, подлежащих учету и расследованию, устанавливает порядок расчета и классифицирует составляющие экономического ущерба от аварий и нарушений в работе энергооборудования при эксплуатации производственных фондов. Результаты расчета экономического ущерба используются при оценке качества работы персонала энергообъектов при эксплуатации производственных фондов.</w:t>
      </w:r>
    </w:p>
    <w:p>
      <w:pPr>
        <w:numPr>
          <w:numId w:val="21"/>
          <w:ilvl w:val="1"/>
        </w:numPr>
        <w:spacing w:before="120" w:after="120"/>
        <w:ind w:left="0" w:firstLine="0"/>
        <w:jc w:val="both"/>
      </w:pPr>
      <w:r>
        <w:t xml:space="preserve">Предварительная оценка ущерба производится в течение 7 рабочих дней с момента возникновения события по тем составляющим ущерба, для которых известны исходные данные. Окончательный расчет производится, как правило, после окончания расследования события, завершения мероприятий по восстановлению зданий, сооружений, технического состояния оборудования (технического устройства) и включения в работу или перевода в резерв. При </w:t>
      </w:r>
      <w:r>
        <w:t xml:space="preserve">корректировке величины ущерба информация доводится до заинтересованных сторон в течение 3-х рабочих дней</w:t>
      </w:r>
      <w:bookmarkStart w:id="4" w:name="_Toc136345268"/>
      <w:bookmarkStart w:id="5" w:name="_Toc194228784"/>
      <w:bookmarkStart w:id="6" w:name="_Toc194229275"/>
      <w:bookmarkStart w:id="7" w:name="_Toc194296111"/>
      <w:r>
        <w:t xml:space="preserve"> с указанием детальных причин корректировки.</w:t>
      </w:r>
    </w:p>
    <w:p>
      <w:pPr>
        <w:numPr>
          <w:numId w:val="21"/>
          <w:ilvl w:val="1"/>
        </w:numPr>
        <w:spacing w:before="120" w:after="120"/>
        <w:ind w:left="0" w:firstLine="0"/>
        <w:jc w:val="both"/>
      </w:pPr>
      <w:r>
        <w:t xml:space="preserve">Предварительные и уточненные (окончательные) данные для расчета представляются соответствующими центрами ответственности по направлениям деятельности</w:t>
      </w:r>
      <w:r>
        <w:t xml:space="preserve"> филиалов</w:t>
      </w:r>
      <w:r>
        <w:t xml:space="preserve">. Распределение функций между центрами ответственности по представлению данных и консолидации результатов расчета ущерба устанавливается распорядительным документом по </w:t>
      </w:r>
      <w:r>
        <w:t xml:space="preserve">филиалу</w:t>
      </w:r>
      <w:r>
        <w:t xml:space="preserve">. </w:t>
      </w:r>
    </w:p>
    <w:p>
      <w:pPr>
        <w:numPr>
          <w:numId w:val="21"/>
          <w:ilvl w:val="1"/>
        </w:numPr>
        <w:spacing w:before="120" w:after="120"/>
        <w:ind w:left="0" w:firstLine="0"/>
        <w:jc w:val="both"/>
      </w:pPr>
      <w:r>
        <w:t xml:space="preserve">Результаты расчета экономического ущерба оформляются в виде справки-расчета экономического ущерба (приложение №1) и утверждаются руководителем энергообъекта.</w:t>
      </w:r>
    </w:p>
    <w:p>
      <w:pPr>
        <w:numPr>
          <w:numId w:val="21"/>
          <w:ilvl w:val="1"/>
        </w:numPr>
        <w:spacing w:before="120" w:after="120"/>
        <w:ind w:left="0" w:firstLine="0"/>
        <w:jc w:val="both"/>
      </w:pPr>
      <w:bookmarkStart w:id="8" w:name="_Toc309304213"/>
      <w:bookmarkStart w:id="9" w:name="_Toc309304214"/>
      <w:r>
        <w:t xml:space="preserve">Определение экономического ущерба от аварий и нарушений в работе оборудования при эксплуатации производственных фондов осуществляется в следующих целях:</w:t>
      </w:r>
      <w:bookmarkEnd w:id="8"/>
    </w:p>
    <w:p>
      <w:pPr>
        <w:numPr>
          <w:numId w:val="21"/>
          <w:ilvl w:val="2"/>
        </w:numPr>
        <w:tabs>
          <w:tab w:val="left" w:pos="1134"/>
        </w:tabs>
        <w:spacing w:after="120"/>
        <w:ind w:left="426" w:firstLine="0"/>
        <w:jc w:val="both"/>
      </w:pPr>
      <w:r>
        <w:t xml:space="preserve">определение финансово-экономических потерь Общества вследствие аварий и нарушений в работе энергооборудования;</w:t>
      </w:r>
      <w:bookmarkEnd w:id="9"/>
    </w:p>
    <w:p>
      <w:pPr>
        <w:numPr>
          <w:numId w:val="21"/>
          <w:ilvl w:val="2"/>
        </w:numPr>
        <w:tabs>
          <w:tab w:val="left" w:pos="1134"/>
        </w:tabs>
        <w:spacing w:before="60" w:after="120"/>
        <w:ind w:left="426" w:firstLine="0"/>
        <w:jc w:val="both"/>
      </w:pPr>
      <w:bookmarkStart w:id="10" w:name="_Toc309304215"/>
      <w:r>
        <w:t xml:space="preserve">статистический анализ аварий и нарушений в работе энергооборудования, а также экономический ущерб от них для принятия управленческих решений по технико-экономическому обоснованию:</w:t>
      </w:r>
      <w:bookmarkEnd w:id="10"/>
    </w:p>
    <w:p>
      <w:pPr>
        <w:numPr>
          <w:numId w:val="22"/>
          <w:ilvl w:val="2"/>
        </w:numPr>
        <w:tabs>
          <w:tab w:val="clear" w:pos="1980"/>
          <w:tab w:val="num" w:pos="1560"/>
        </w:tabs>
        <w:spacing w:before="60"/>
        <w:ind w:left="851" w:right="-81" w:firstLine="0"/>
        <w:jc w:val="both"/>
      </w:pPr>
      <w:r>
        <w:t xml:space="preserve">объемов, периодичности, схем и методов ремонтного обслуживания, а также затрат на ремонты и техническое обслуживание;</w:t>
      </w:r>
    </w:p>
    <w:p>
      <w:pPr>
        <w:numPr>
          <w:numId w:val="22"/>
          <w:ilvl w:val="2"/>
        </w:numPr>
        <w:tabs>
          <w:tab w:val="clear" w:pos="1980"/>
          <w:tab w:val="num" w:pos="1560"/>
        </w:tabs>
        <w:spacing w:before="60"/>
        <w:ind w:left="851" w:right="-81" w:firstLine="0"/>
        <w:jc w:val="both"/>
      </w:pPr>
      <w:r>
        <w:t xml:space="preserve">нормативов аварийных запасов ресурсов (материалов, запасных частей, оборудования, топлива);</w:t>
      </w:r>
    </w:p>
    <w:p>
      <w:pPr>
        <w:numPr>
          <w:numId w:val="22"/>
          <w:ilvl w:val="2"/>
        </w:numPr>
        <w:tabs>
          <w:tab w:val="clear" w:pos="1980"/>
          <w:tab w:val="num" w:pos="1560"/>
        </w:tabs>
        <w:spacing w:before="60"/>
        <w:ind w:left="851" w:right="-81" w:firstLine="0"/>
        <w:jc w:val="both"/>
      </w:pPr>
      <w:r>
        <w:t xml:space="preserve">проектов и планов модернизации и реконструкции </w:t>
      </w:r>
      <w:r>
        <w:t xml:space="preserve">энергопредприятий</w:t>
      </w:r>
      <w:r>
        <w:t xml:space="preserve">;</w:t>
      </w:r>
    </w:p>
    <w:p>
      <w:pPr>
        <w:numPr>
          <w:numId w:val="22"/>
          <w:ilvl w:val="2"/>
        </w:numPr>
        <w:tabs>
          <w:tab w:val="clear" w:pos="1980"/>
          <w:tab w:val="left" w:pos="1560"/>
        </w:tabs>
        <w:spacing w:before="60"/>
        <w:ind w:left="851" w:right="-81" w:firstLine="0"/>
        <w:jc w:val="both"/>
      </w:pPr>
      <w:r>
        <w:t xml:space="preserve">мероприятий по обеспечению безопасности эксплуатации энергооборудования, зданий и сооружений.</w:t>
      </w:r>
    </w:p>
    <w:p>
      <w:pPr>
        <w:numPr>
          <w:numId w:val="21"/>
          <w:ilvl w:val="1"/>
        </w:numPr>
        <w:spacing w:before="120" w:after="120"/>
        <w:ind w:left="0" w:firstLine="0"/>
        <w:jc w:val="both"/>
      </w:pPr>
      <w:r>
        <w:t xml:space="preserve">Экономический ущерб, рассчитанный в соответствие с настоящей Методикой, может применятся для оценки:</w:t>
      </w:r>
    </w:p>
    <w:p>
      <w:pPr>
        <w:numPr>
          <w:numId w:val="23"/>
          <w:ilvl w:val="1"/>
        </w:numPr>
        <w:spacing w:before="60" w:after="120"/>
        <w:ind w:left="709" w:firstLine="0"/>
        <w:jc w:val="both"/>
      </w:pPr>
      <w:r>
        <w:t xml:space="preserve">аварии, нарушения в работе оборудования, отказа и пр. – величина ущерба относится к конкретному событию независимо от его продолжительности и времени наступления последствий, а также даты и времени фиксации ущерба от данного события;</w:t>
      </w:r>
    </w:p>
    <w:p>
      <w:pPr>
        <w:numPr>
          <w:numId w:val="23"/>
          <w:ilvl w:val="1"/>
        </w:numPr>
        <w:spacing w:before="60" w:after="120"/>
        <w:ind w:left="709" w:firstLine="0"/>
        <w:jc w:val="both"/>
      </w:pPr>
      <w:r>
        <w:t xml:space="preserve">финансовых и экономических показателей в отчётном периоде (год, квартал, месяц) – учитывается ущерб, дата и время фиксации которого, приходится на оцениваемый отчетный период.</w:t>
      </w:r>
    </w:p>
    <w:p>
      <w:pPr>
        <w:pStyle w:val="1"/>
        <w:numPr>
          <w:numId w:val="38"/>
          <w:ilvl w:val="0"/>
        </w:numPr>
        <w:jc w:val="both"/>
        <w:rPr>
          <w:bCs w:val="0"/>
        </w:rPr>
      </w:pPr>
      <w:bookmarkStart w:id="11" w:name="_Toc488848702"/>
      <w:bookmarkStart w:id="12" w:name="_Toc490640156"/>
      <w:bookmarkStart w:id="13" w:name="_Toc490640185"/>
      <w:bookmarkStart w:id="14" w:name="_Toc10707072"/>
      <w:r>
        <w:rPr>
          <w:bCs w:val="0"/>
        </w:rPr>
        <w:t xml:space="preserve">УЧЕТ АВАРИЙ И НАРУШЕНИЙ В РАБОТЕ ЭНЕРГООБОРУДОВАНИЯ</w:t>
      </w:r>
      <w:bookmarkEnd w:id="11"/>
      <w:bookmarkEnd w:id="12"/>
      <w:bookmarkEnd w:id="13"/>
      <w:bookmarkEnd w:id="14"/>
    </w:p>
    <w:p>
      <w:pPr>
        <w:spacing w:before="60"/>
        <w:jc w:val="both"/>
      </w:pPr>
      <w:r>
        <w:t xml:space="preserve">К учету и расследованию подлежат следующие события (далее аварии и нарушения в работе энергооборудования):</w:t>
      </w:r>
    </w:p>
    <w:p>
      <w:pPr>
        <w:spacing w:before="60"/>
        <w:jc w:val="both"/>
        <w:rPr>
          <w:b/>
        </w:rPr>
      </w:pPr>
      <w:r>
        <w:rPr>
          <w:b/>
        </w:rPr>
        <w:t xml:space="preserve">На объектах </w:t>
      </w:r>
      <w:r>
        <w:rPr>
          <w:b/>
        </w:rPr>
        <w:t xml:space="preserve">электрогенерации</w:t>
      </w:r>
      <w:r>
        <w:rPr>
          <w:b/>
        </w:rPr>
        <w:t xml:space="preserve"> и электрических сетей </w:t>
      </w:r>
      <w:r>
        <w:rPr>
          <w:b/>
          <w:u w:val="single"/>
        </w:rPr>
        <w:t xml:space="preserve">[</w:t>
      </w:r>
      <w:r>
        <w:rPr>
          <w:b/>
          <w:u w:val="single"/>
        </w:rPr>
        <w:t xml:space="preserve">пп</w:t>
      </w:r>
      <w:r>
        <w:rPr>
          <w:b/>
          <w:u w:val="single"/>
        </w:rPr>
        <w:t xml:space="preserve">. 5.1-5.9]</w:t>
      </w:r>
      <w:r>
        <w:rPr>
          <w:b/>
        </w:rPr>
        <w:t xml:space="preserve">:</w:t>
      </w:r>
    </w:p>
    <w:p>
      <w:pPr>
        <w:pStyle w:val="aff4"/>
        <w:numPr>
          <w:numId w:val="21"/>
          <w:ilvl w:val="0"/>
        </w:numPr>
        <w:spacing w:before="60" w:after="120"/>
        <w:jc w:val="both"/>
        <w:rPr>
          <w:vanish/>
          <w:sz w:val="2"/>
          <w:szCs w:val="2"/>
        </w:rPr>
      </w:pPr>
    </w:p>
    <w:p>
      <w:pPr>
        <w:numPr>
          <w:numId w:val="21"/>
          <w:ilvl w:val="1"/>
        </w:numPr>
        <w:spacing w:after="120"/>
        <w:jc w:val="both"/>
      </w:pPr>
      <w:r>
        <w:t xml:space="preserve">Аварии в электроэнергетике, порядок расследования причин которых установлены НПА РФ, в том числе:</w:t>
      </w:r>
    </w:p>
    <w:p>
      <w:pPr>
        <w:numPr>
          <w:numId w:val="21"/>
          <w:ilvl w:val="2"/>
        </w:numPr>
        <w:tabs>
          <w:tab w:val="left" w:pos="993"/>
        </w:tabs>
        <w:spacing w:before="60"/>
        <w:ind w:left="567" w:right="-81" w:firstLine="0"/>
        <w:jc w:val="both"/>
      </w:pPr>
      <w:r>
        <w:t xml:space="preserve">аварии, расследуемые федеральным </w:t>
      </w:r>
      <w:hyperlink r:id="rId22" w:history="1">
        <w:r>
          <w:t xml:space="preserve">орган</w:t>
        </w:r>
      </w:hyperlink>
      <w:r>
        <w:t xml:space="preserve">ом исполнительной власти, уполномоченным на осуществление федерального государственного энергетического надзора, либо его территориальным органом, в результате которых произошли:</w:t>
      </w:r>
    </w:p>
    <w:p>
      <w:pPr>
        <w:numPr>
          <w:numId w:val="17"/>
          <w:ilvl w:val="0"/>
        </w:numPr>
        <w:tabs>
          <w:tab w:val="left" w:pos="993"/>
        </w:tabs>
        <w:spacing w:before="40"/>
        <w:ind w:left="567" w:firstLine="0"/>
        <w:jc w:val="both"/>
        <w:rPr>
          <w:rFonts w:eastAsia="Calibri"/>
        </w:rPr>
      </w:pPr>
      <w:r>
        <w:rPr>
          <w:rFonts w:eastAsia="Calibri"/>
        </w:rPr>
        <w:t xml:space="preserve">повреждение энергетического котла паропроизводительностью 100 тонн в час и более или водогрейного котла производительностью 50 </w:t>
      </w:r>
      <w:r>
        <w:rPr>
          <w:rFonts w:eastAsia="Calibri"/>
        </w:rPr>
        <w:t xml:space="preserve">гигакалорий</w:t>
      </w:r>
      <w:r>
        <w:rPr>
          <w:rFonts w:eastAsia="Calibri"/>
        </w:rPr>
        <w:t xml:space="preserve"> в час и более с разрушением, изменением формы или геометрических размеров котла или смещением блоков (элементов) котла или металлического каркаса;</w:t>
      </w:r>
    </w:p>
    <w:p>
      <w:pPr>
        <w:numPr>
          <w:numId w:val="17"/>
          <w:ilvl w:val="0"/>
        </w:numPr>
        <w:tabs>
          <w:tab w:val="left" w:pos="993"/>
        </w:tabs>
        <w:spacing w:before="40"/>
        <w:ind w:left="567" w:firstLine="0"/>
        <w:jc w:val="both"/>
        <w:rPr>
          <w:rFonts w:eastAsia="Calibri"/>
        </w:rPr>
      </w:pPr>
      <w:r>
        <w:rPr>
          <w:rFonts w:eastAsia="Calibri"/>
        </w:rPr>
        <w:t xml:space="preserve">повреждение турбины номинальной мощностью 10 МВт и более с разрушением проточной части турбины, изменением формы и геометрических размеров или смещением корпуса турбины на фундаменте;</w:t>
      </w:r>
    </w:p>
    <w:p>
      <w:pPr>
        <w:numPr>
          <w:numId w:val="17"/>
          <w:ilvl w:val="0"/>
        </w:numPr>
        <w:tabs>
          <w:tab w:val="left" w:pos="993"/>
        </w:tabs>
        <w:spacing w:before="40"/>
        <w:ind w:left="567" w:firstLine="0"/>
        <w:jc w:val="both"/>
        <w:rPr>
          <w:rFonts w:eastAsia="Calibri"/>
        </w:rPr>
      </w:pPr>
      <w:r>
        <w:rPr>
          <w:rFonts w:eastAsia="Calibri"/>
        </w:rPr>
        <w:t xml:space="preserve">повреждение генератора установленной мощностью 10 МВт и более с разрушением его статора, ротора, изоляции обмоток статора, изоляции обмоток ротора;</w:t>
      </w:r>
    </w:p>
    <w:p>
      <w:pPr>
        <w:numPr>
          <w:numId w:val="17"/>
          <w:ilvl w:val="0"/>
        </w:numPr>
        <w:tabs>
          <w:tab w:val="left" w:pos="993"/>
        </w:tabs>
        <w:spacing w:before="40"/>
        <w:ind w:left="567" w:firstLine="0"/>
        <w:jc w:val="both"/>
        <w:rPr>
          <w:rFonts w:eastAsia="Calibri"/>
        </w:rPr>
      </w:pPr>
      <w:r>
        <w:rPr>
          <w:rFonts w:eastAsia="Calibri"/>
        </w:rPr>
        <w:t xml:space="preserve">повреждение силового трансформатора (автотрансформатора) мощностью 10 МВА и более с разрушением, изменением формы и геометрических размеров или смещением его корпуса;</w:t>
      </w:r>
    </w:p>
    <w:p>
      <w:pPr>
        <w:numPr>
          <w:numId w:val="17"/>
          <w:ilvl w:val="0"/>
        </w:numPr>
        <w:tabs>
          <w:tab w:val="left" w:pos="993"/>
        </w:tabs>
        <w:spacing w:before="40"/>
        <w:ind w:left="567" w:firstLine="0"/>
        <w:jc w:val="both"/>
        <w:rPr>
          <w:rFonts w:eastAsia="Calibri"/>
        </w:rPr>
      </w:pPr>
      <w:r>
        <w:rPr>
          <w:rFonts w:eastAsia="Calibri"/>
        </w:rPr>
        <w:t xml:space="preserve">обрушение несущих элементов технологических зданий, сооружений объекта электроэнергетики и (или) энергопринимающей установки, в том числе произошедшее вследствие взрыва или пожара, если такое обрушение привело к введению аварийного ограничения режима потребления электрической и (или) тепловой энергии (мощности);</w:t>
      </w:r>
    </w:p>
    <w:p>
      <w:pPr>
        <w:numPr>
          <w:numId w:val="17"/>
          <w:ilvl w:val="0"/>
        </w:numPr>
        <w:tabs>
          <w:tab w:val="left" w:pos="993"/>
        </w:tabs>
        <w:spacing w:before="40"/>
        <w:ind w:left="567" w:firstLine="0"/>
        <w:jc w:val="both"/>
        <w:rPr>
          <w:rFonts w:eastAsia="Calibri"/>
        </w:rPr>
      </w:pPr>
      <w:r>
        <w:rPr>
          <w:rFonts w:eastAsia="Calibri"/>
        </w:rPr>
        <w:t xml:space="preserve">отклонение частоты электрического тока в энергосистеме или ее части за пределы: 50,00 +/- 0,2 Гц продолжительностью 3 часа и более; 50,00 +/- 0,4 Гц продолжительностью 30 минут и более;</w:t>
      </w:r>
    </w:p>
    <w:p>
      <w:pPr>
        <w:numPr>
          <w:numId w:val="17"/>
          <w:ilvl w:val="0"/>
        </w:numPr>
        <w:tabs>
          <w:tab w:val="left" w:pos="993"/>
        </w:tabs>
        <w:spacing w:before="40"/>
        <w:ind w:left="567" w:firstLine="0"/>
        <w:jc w:val="both"/>
        <w:rPr>
          <w:rFonts w:eastAsia="Calibri"/>
        </w:rPr>
      </w:pPr>
      <w:r>
        <w:rPr>
          <w:rFonts w:eastAsia="Calibri"/>
        </w:rPr>
        <w:t xml:space="preserve">массовые отключения или повреждения объектов электросетевого хозяйства (высший класс напряжения 6 - 35 </w:t>
      </w:r>
      <w:r>
        <w:rPr>
          <w:rFonts w:eastAsia="Calibri"/>
        </w:rPr>
        <w:t xml:space="preserve">кВ</w:t>
      </w:r>
      <w:r>
        <w:rPr>
          <w:rFonts w:eastAsia="Calibri"/>
        </w:rPr>
        <w:t xml:space="preserve">), вызванные неблагоприятными природными явлениями, если они привели к прекращению электроснабжения потребителей общей численностью 200 тыс. человек и более;</w:t>
      </w:r>
    </w:p>
    <w:p>
      <w:pPr>
        <w:numPr>
          <w:numId w:val="17"/>
          <w:ilvl w:val="0"/>
        </w:numPr>
        <w:tabs>
          <w:tab w:val="left" w:pos="993"/>
        </w:tabs>
        <w:spacing w:before="40"/>
        <w:ind w:left="567" w:firstLine="0"/>
        <w:jc w:val="both"/>
        <w:rPr>
          <w:rFonts w:eastAsia="Calibri"/>
        </w:rPr>
      </w:pPr>
      <w:r>
        <w:rPr>
          <w:rFonts w:eastAsia="Calibri"/>
        </w:rPr>
        <w:t xml:space="preserve">отключение генерирующего оборудования или объекта электросетевого хозяйства, приводящее к снижению надежности Единой энергетической системы России или технологически изолированных территориальных электроэнергетических систем, при возникновении любого из следующих событий:</w:t>
      </w:r>
    </w:p>
    <w:p>
      <w:pPr>
        <w:numPr>
          <w:numId w:val="18"/>
          <w:ilvl w:val="0"/>
        </w:numPr>
        <w:jc w:val="both"/>
        <w:rPr>
          <w:rFonts w:eastAsia="Calibri"/>
        </w:rPr>
      </w:pPr>
      <w:r>
        <w:rPr>
          <w:rFonts w:eastAsia="Calibri"/>
        </w:rPr>
        <w:t xml:space="preserve">разделение Единой энергетической системы России или технологически изолированной территориальной энергосистемы на части;</w:t>
      </w:r>
    </w:p>
    <w:p>
      <w:pPr>
        <w:numPr>
          <w:numId w:val="18"/>
          <w:ilvl w:val="0"/>
        </w:numPr>
        <w:jc w:val="both"/>
        <w:rPr>
          <w:rFonts w:eastAsia="Calibri"/>
        </w:rPr>
      </w:pPr>
      <w:r>
        <w:rPr>
          <w:rFonts w:eastAsia="Calibri"/>
        </w:rPr>
        <w:t xml:space="preserve">выделение </w:t>
      </w:r>
      <w:r>
        <w:rPr>
          <w:rFonts w:eastAsia="Calibri"/>
        </w:rPr>
        <w:t xml:space="preserve">энергорайона</w:t>
      </w:r>
      <w:r>
        <w:rPr>
          <w:rFonts w:eastAsia="Calibri"/>
        </w:rPr>
        <w:t xml:space="preserve">, включающего в себя электростанцию (электростанции) установленной мощностью 25 МВт и более (при отключении всех электрических связей с Единой энергетической системой России или технологически изолированной территориальной энергосистемой), с переходом на изолированную от Единой энергетической системы России или технологически изолированной территориальной энергосистемы работу, за исключением случаев успешного повторного включения в работу линий электропередачи или электротехнического оборудования действием устройств автоматического повторного включения;</w:t>
      </w:r>
    </w:p>
    <w:p>
      <w:pPr>
        <w:numPr>
          <w:numId w:val="18"/>
          <w:ilvl w:val="0"/>
        </w:numPr>
        <w:jc w:val="both"/>
        <w:rPr>
          <w:rFonts w:eastAsia="Calibri"/>
        </w:rPr>
      </w:pPr>
      <w:r>
        <w:rPr>
          <w:rFonts w:eastAsia="Calibri"/>
        </w:rPr>
        <w:t xml:space="preserve">превышение максимально допустимых перетоков мощности в контролируемом сечении длительностью 1 час и более;</w:t>
      </w:r>
    </w:p>
    <w:p>
      <w:pPr>
        <w:numPr>
          <w:numId w:val="18"/>
          <w:ilvl w:val="0"/>
        </w:numPr>
        <w:jc w:val="both"/>
        <w:rPr>
          <w:rFonts w:eastAsia="Calibri"/>
        </w:rPr>
      </w:pPr>
      <w:r>
        <w:rPr>
          <w:rFonts w:eastAsia="Calibri"/>
        </w:rPr>
        <w:t xml:space="preserve">применение графиков временных отключений суммарным объемом 100 МВт и более или прекращение электроснабжения на величину 25 и более процентов общего объема потребления в операционной зоне диспетчерского центра;</w:t>
      </w:r>
    </w:p>
    <w:p>
      <w:pPr>
        <w:numPr>
          <w:numId w:val="18"/>
          <w:ilvl w:val="0"/>
        </w:numPr>
        <w:jc w:val="both"/>
        <w:rPr>
          <w:rFonts w:eastAsia="Calibri"/>
        </w:rPr>
      </w:pPr>
      <w:r>
        <w:rPr>
          <w:rFonts w:eastAsia="Calibri"/>
        </w:rPr>
        <w:t xml:space="preserve">внеплановое ограничение выдачи мощности электростанцией на величину 100 МВт и более на срок более одних суток, обусловленное невозможностью использования </w:t>
      </w:r>
      <w:r>
        <w:rPr>
          <w:rFonts w:eastAsia="Calibri"/>
        </w:rPr>
        <w:t xml:space="preserve">располагаемой мощности электростанции из-за аварийного отключения линий электропередачи или оборудования электрических сетей;</w:t>
      </w:r>
    </w:p>
    <w:p>
      <w:pPr>
        <w:numPr>
          <w:numId w:val="17"/>
          <w:ilvl w:val="0"/>
        </w:numPr>
        <w:tabs>
          <w:tab w:val="left" w:pos="993"/>
        </w:tabs>
        <w:spacing w:before="40"/>
        <w:ind w:left="567" w:firstLine="0"/>
        <w:jc w:val="both"/>
        <w:rPr>
          <w:rFonts w:eastAsia="Calibri"/>
        </w:rPr>
      </w:pPr>
      <w:r>
        <w:rPr>
          <w:rFonts w:eastAsia="Calibri"/>
        </w:rPr>
        <w:t xml:space="preserve">отключение объектов электросетевого хозяйства (высший класс напряжения 110 </w:t>
      </w:r>
      <w:r>
        <w:rPr>
          <w:rFonts w:eastAsia="Calibri"/>
        </w:rPr>
        <w:t xml:space="preserve">кВ</w:t>
      </w:r>
      <w:r>
        <w:rPr>
          <w:rFonts w:eastAsia="Calibri"/>
        </w:rPr>
        <w:t xml:space="preserve"> и выше), генерирующего оборудования мощностью 100 МВт и более на 2 и более объектах электроэнергетики, вызвавшее прекращение электроснабжения потребителей электрической энергии, суммарная мощность потребления которых составляет 100 МВт и более, продолжительностью 30 минут и более;</w:t>
      </w:r>
    </w:p>
    <w:p>
      <w:pPr>
        <w:numPr>
          <w:numId w:val="17"/>
          <w:ilvl w:val="0"/>
        </w:numPr>
        <w:tabs>
          <w:tab w:val="left" w:pos="993"/>
        </w:tabs>
        <w:spacing w:before="40"/>
        <w:ind w:left="567" w:firstLine="0"/>
        <w:jc w:val="both"/>
        <w:rPr>
          <w:rFonts w:eastAsia="Calibri"/>
        </w:rPr>
      </w:pPr>
      <w:r>
        <w:rPr>
          <w:rFonts w:eastAsia="Calibri"/>
        </w:rPr>
        <w:t xml:space="preserve">нарушения в работе противоаварийной или режимной автоматики, в том числе обусловленные ошибочными действиями персонала, вызвавшие отключение объекта электросетевого хозяйства (высший класс напряжения 110 </w:t>
      </w:r>
      <w:r>
        <w:rPr>
          <w:rFonts w:eastAsia="Calibri"/>
        </w:rPr>
        <w:t xml:space="preserve">кВ</w:t>
      </w:r>
      <w:r>
        <w:rPr>
          <w:rFonts w:eastAsia="Calibri"/>
        </w:rPr>
        <w:t xml:space="preserve"> и выше), отключение (включение) генерирующего оборудования, суммарная мощность которого составляет 100 МВт и более, или прекращение электроснабжения потребителей электрической энергии, суммарная мощность потребления которых составляет 100 МВт и более;</w:t>
      </w:r>
    </w:p>
    <w:p>
      <w:pPr>
        <w:numPr>
          <w:numId w:val="17"/>
          <w:ilvl w:val="0"/>
        </w:numPr>
        <w:tabs>
          <w:tab w:val="left" w:pos="993"/>
        </w:tabs>
        <w:spacing w:before="40"/>
        <w:ind w:left="567" w:firstLine="0"/>
        <w:jc w:val="both"/>
        <w:rPr>
          <w:rFonts w:eastAsia="Calibri"/>
        </w:rPr>
      </w:pPr>
      <w:r>
        <w:rPr>
          <w:rFonts w:eastAsia="Calibri"/>
        </w:rPr>
        <w:t xml:space="preserve">нарушение работы средств диспетчерского и технологического управления, приводящее к одному из следующих случаев потери связи между диспетчерским центром субъекта оперативно-диспетчерского управления в электроэнергетике и объектом электроэнергетики или энергопринимающей установкой продолжительностью 1 час и более:</w:t>
      </w:r>
    </w:p>
    <w:p>
      <w:pPr>
        <w:numPr>
          <w:numId w:val="19"/>
          <w:ilvl w:val="0"/>
        </w:numPr>
        <w:jc w:val="both"/>
        <w:rPr>
          <w:rFonts w:eastAsia="Calibri"/>
        </w:rPr>
      </w:pPr>
      <w:r>
        <w:rPr>
          <w:rFonts w:eastAsia="Calibri"/>
        </w:rPr>
        <w:t xml:space="preserve">полная потеря диспетчерской связи и дистанционного управления объектом электроэнергетики;</w:t>
      </w:r>
    </w:p>
    <w:p>
      <w:pPr>
        <w:numPr>
          <w:numId w:val="19"/>
          <w:ilvl w:val="0"/>
        </w:numPr>
        <w:jc w:val="both"/>
        <w:rPr>
          <w:rFonts w:eastAsia="Calibri"/>
        </w:rPr>
      </w:pPr>
      <w:r>
        <w:rPr>
          <w:rFonts w:eastAsia="Calibri"/>
        </w:rPr>
        <w:t xml:space="preserve">полная потеря диспетчерской связи и невозможность передачи телеметрической информации;</w:t>
      </w:r>
    </w:p>
    <w:p>
      <w:pPr>
        <w:numPr>
          <w:numId w:val="19"/>
          <w:ilvl w:val="0"/>
        </w:numPr>
        <w:jc w:val="both"/>
        <w:rPr>
          <w:rFonts w:eastAsia="Calibri"/>
        </w:rPr>
      </w:pPr>
      <w:r>
        <w:rPr>
          <w:rFonts w:eastAsia="Calibri"/>
        </w:rPr>
        <w:t xml:space="preserve">полная потеря диспетчерской связи и невозможность передачи или приема управляющих воздействий режимной и (или) противоаварийной автоматики.</w:t>
      </w:r>
    </w:p>
    <w:p>
      <w:pPr>
        <w:numPr>
          <w:numId w:val="21"/>
          <w:ilvl w:val="2"/>
        </w:numPr>
        <w:tabs>
          <w:tab w:val="left" w:pos="993"/>
        </w:tabs>
        <w:spacing w:before="60"/>
        <w:ind w:left="567" w:right="-81" w:firstLine="0"/>
        <w:jc w:val="both"/>
      </w:pPr>
      <w:r>
        <w:t xml:space="preserve">аварии, расследуемые собственником или иным законным владельцем объекта электроэнергетики и (или) энергопринимающей установки либо эксплуатирующей их организацией, в результате которых произошли:</w:t>
      </w:r>
    </w:p>
    <w:p>
      <w:pPr>
        <w:numPr>
          <w:numId w:val="16"/>
          <w:ilvl w:val="2"/>
        </w:numPr>
        <w:tabs>
          <w:tab w:val="left" w:pos="993"/>
        </w:tabs>
        <w:spacing w:before="40"/>
        <w:ind w:left="567" w:firstLine="0"/>
        <w:jc w:val="both"/>
      </w:pPr>
      <w:r>
        <w:t xml:space="preserve">повреждение основного оборудования электростанции, а также отключение такого оборудования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pPr>
        <w:numPr>
          <w:numId w:val="16"/>
          <w:ilvl w:val="2"/>
        </w:numPr>
        <w:tabs>
          <w:tab w:val="left" w:pos="993"/>
        </w:tabs>
        <w:spacing w:before="40"/>
        <w:ind w:left="567" w:firstLine="0"/>
        <w:jc w:val="both"/>
      </w:pPr>
      <w:r>
        <w:t xml:space="preserve">отключение вспомогательного оборудования электростанции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 повлекшее ограничение располагаемой мощности электростанции на величину 50 МВт и более;</w:t>
      </w:r>
    </w:p>
    <w:p>
      <w:pPr>
        <w:numPr>
          <w:numId w:val="16"/>
          <w:ilvl w:val="2"/>
        </w:numPr>
        <w:tabs>
          <w:tab w:val="left" w:pos="993"/>
        </w:tabs>
        <w:spacing w:before="40"/>
        <w:ind w:left="567" w:firstLine="0"/>
        <w:jc w:val="both"/>
      </w:pPr>
      <w:r>
        <w:t xml:space="preserve">повреждение объекта электросетевого хозяйства (высший класс напряжения 6 </w:t>
      </w:r>
      <w:r>
        <w:t xml:space="preserve">кВ</w:t>
      </w:r>
      <w:r>
        <w:t xml:space="preserve"> и выше) в электрических сетях или на электростанции, а также отключение такого объекта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pPr>
        <w:numPr>
          <w:numId w:val="16"/>
          <w:ilvl w:val="2"/>
        </w:numPr>
        <w:tabs>
          <w:tab w:val="left" w:pos="993"/>
        </w:tabs>
        <w:spacing w:before="40"/>
        <w:ind w:left="567" w:firstLine="0"/>
        <w:jc w:val="both"/>
      </w:pPr>
      <w:r>
        <w:t xml:space="preserve">нарушение, приводящее к потере управляемости объекта электроэнергетики (потеря питания собственных нужд, оперативного тока, давления в магистралях сжатого воздуха, систем управления оборудованием) продолжительностью 1 час и более;</w:t>
      </w:r>
    </w:p>
    <w:p>
      <w:pPr>
        <w:numPr>
          <w:numId w:val="16"/>
          <w:ilvl w:val="2"/>
        </w:numPr>
        <w:tabs>
          <w:tab w:val="left" w:pos="993"/>
        </w:tabs>
        <w:spacing w:before="40"/>
        <w:ind w:left="567" w:firstLine="0"/>
        <w:jc w:val="both"/>
      </w:pPr>
      <w:r>
        <w:t xml:space="preserve">неправильные действия защитных устройств и (или) систем автоматики;</w:t>
      </w:r>
    </w:p>
    <w:p>
      <w:pPr>
        <w:numPr>
          <w:numId w:val="16"/>
          <w:ilvl w:val="2"/>
        </w:numPr>
        <w:tabs>
          <w:tab w:val="left" w:pos="993"/>
        </w:tabs>
        <w:spacing w:before="40"/>
        <w:ind w:left="567" w:firstLine="0"/>
        <w:jc w:val="both"/>
      </w:pPr>
      <w:r>
        <w:t xml:space="preserve">нарушение режима работы электростанции, вызвавшее превышение лимитов предельно допустимых выбросов загрязняющих веществ в атмосферный воздух в 5-кратном объеме и более или лимитов предельно допустимых сбросов загрязняющих веществ в водные объекты в 3-кратном объеме и более, продолжительностью более 1 суток;</w:t>
      </w:r>
    </w:p>
    <w:p>
      <w:pPr>
        <w:numPr>
          <w:numId w:val="16"/>
          <w:ilvl w:val="2"/>
        </w:numPr>
        <w:tabs>
          <w:tab w:val="left" w:pos="993"/>
        </w:tabs>
        <w:spacing w:before="40"/>
        <w:ind w:left="567" w:firstLine="0"/>
        <w:jc w:val="both"/>
      </w:pPr>
      <w:r>
        <w:t xml:space="preserve">отключения (повреждения) или разрушения оборудования или устройств, явившиеся причиной или следствием пожара на объекте электроэнергетики;</w:t>
      </w:r>
    </w:p>
    <w:p>
      <w:pPr>
        <w:numPr>
          <w:numId w:val="16"/>
          <w:ilvl w:val="2"/>
        </w:numPr>
        <w:tabs>
          <w:tab w:val="left" w:pos="993"/>
        </w:tabs>
        <w:spacing w:before="40"/>
        <w:ind w:left="567" w:firstLine="0"/>
        <w:jc w:val="both"/>
      </w:pPr>
      <w:r>
        <w:t xml:space="preserve">повреждение объектов электросетевого хозяйства классом напряжения ниже 6 </w:t>
      </w:r>
      <w:r>
        <w:t xml:space="preserve">кВ</w:t>
      </w:r>
      <w:r>
        <w:t xml:space="preserve"> и (или) их отключение действием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pPr>
        <w:numPr>
          <w:numId w:val="21"/>
          <w:ilvl w:val="1"/>
        </w:numPr>
        <w:spacing w:before="120" w:after="120"/>
        <w:jc w:val="both"/>
      </w:pPr>
      <w:r>
        <w:t xml:space="preserve">Отключение вспомогательного оборудования электростанции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 повлекшее ограничение располагаемой мощности электростанции на величину до 50 МВт.</w:t>
      </w:r>
    </w:p>
    <w:p>
      <w:pPr>
        <w:numPr>
          <w:numId w:val="21"/>
          <w:ilvl w:val="1"/>
        </w:numPr>
        <w:spacing w:before="40" w:after="120"/>
        <w:jc w:val="both"/>
      </w:pPr>
      <w:r>
        <w:t xml:space="preserve">Факты неисполнения команд Системного оператора (согласно положению Системного оператора, регламентирующему порядок отдачи и регистрации диспетчерских команд, распоряжений, разрешений), в том числе отклонения от УДГ.</w:t>
      </w:r>
    </w:p>
    <w:p>
      <w:pPr>
        <w:numPr>
          <w:numId w:val="21"/>
          <w:ilvl w:val="1"/>
        </w:numPr>
        <w:spacing w:before="40" w:after="120"/>
        <w:jc w:val="both"/>
      </w:pPr>
      <w:r>
        <w:t xml:space="preserve">Факты подачи диспетчерских заявок (неплановых, аварийных, неотложных) на изменение технологического режима работы и (или) эксплуатационного состояния оборудования,</w:t>
      </w:r>
      <w:r>
        <w:rPr>
          <w:color w:val="000000" w:themeColor="text1"/>
        </w:rPr>
        <w:t xml:space="preserve"> которые привели к уменьшению оплаты мощности и (или) к снижению располагаемой мощности.</w:t>
      </w:r>
    </w:p>
    <w:p>
      <w:pPr>
        <w:numPr>
          <w:numId w:val="21"/>
          <w:ilvl w:val="1"/>
        </w:numPr>
        <w:spacing w:before="40" w:after="120"/>
        <w:jc w:val="both"/>
      </w:pPr>
      <w:r>
        <w:t xml:space="preserve">Задержка включения или не включение оборудования из резерва, ремонта, испытаний («</w:t>
      </w:r>
      <w:r>
        <w:t xml:space="preserve">неразвороты</w:t>
      </w:r>
      <w:r>
        <w:t xml:space="preserve">», в том числе прекращения пусковых операций и нарушения нормативов времени пуска), подтверждающиеся подачей диспетчерских заявок на изменение технологического режима работы и (или) эксплуатационного состояния оборудования.</w:t>
      </w:r>
    </w:p>
    <w:p>
      <w:pPr>
        <w:numPr>
          <w:numId w:val="21"/>
          <w:ilvl w:val="1"/>
        </w:numPr>
        <w:spacing w:before="40" w:after="120"/>
        <w:jc w:val="both"/>
      </w:pPr>
      <w:r>
        <w:t xml:space="preserve">Ошибки оперативного персонала, в результате которых произошли потери на рынке мощности и балансирующем рынке из-за несвоевременного (или некорректного) оформления диспетчерских заявок и уведомлений на изменение технологического режима работы и (или) эксплуатационного (оперативного) состояния оборудования </w:t>
      </w:r>
      <w:r>
        <w:rPr>
          <w:rStyle w:val="a6"/>
        </w:rPr>
        <w:footnoteReference w:id="1"/>
      </w:r>
      <w:r>
        <w:t xml:space="preserve">.</w:t>
      </w:r>
    </w:p>
    <w:p>
      <w:pPr>
        <w:numPr>
          <w:numId w:val="21"/>
          <w:ilvl w:val="1"/>
        </w:numPr>
        <w:spacing w:before="40" w:after="120"/>
        <w:jc w:val="both"/>
      </w:pPr>
      <w:r>
        <w:t xml:space="preserve">Аварии и инциденты, расследование причин которых осуществляется в соответствии с законодательством в области промышленной и экологической безопасности, а также гидротехнических сооружений.</w:t>
      </w:r>
    </w:p>
    <w:p>
      <w:pPr>
        <w:numPr>
          <w:numId w:val="21"/>
          <w:ilvl w:val="1"/>
        </w:numPr>
        <w:spacing w:before="40" w:after="120"/>
        <w:jc w:val="both"/>
      </w:pPr>
      <w:r>
        <w:t xml:space="preserve">Нарушения в работе оборудования, приводящие к потере управляемости объекта электроэнергетики (потеря питания собственных нужд, оперативного тока, давления в магистралях сжатого воздуха, систем управления оборудованием), а также потери диспетчерской связи продолжительностью до 1 часа.</w:t>
      </w:r>
    </w:p>
    <w:p>
      <w:pPr>
        <w:numPr>
          <w:numId w:val="21"/>
          <w:ilvl w:val="1"/>
        </w:numPr>
        <w:spacing w:before="40" w:after="120"/>
        <w:jc w:val="both"/>
      </w:pPr>
      <w:r>
        <w:t xml:space="preserve">Повреждения вспомогательного энергооборудования вследствие ошибочных действий оперативного персонала, не повлекшие последствия, предусмотренные п.5.1-5.8 настоящей Методики.</w:t>
      </w:r>
    </w:p>
    <w:p>
      <w:pPr>
        <w:ind w:left="-142"/>
        <w:jc w:val="both"/>
        <w:rPr>
          <w:b/>
          <w:u w:val="single"/>
        </w:rPr>
      </w:pPr>
      <w:r>
        <w:rPr>
          <w:b/>
          <w:u w:val="single"/>
        </w:rPr>
        <w:t xml:space="preserve">На объектах теплоснабжающих организаций и источниках тепловой энергии электростанций [</w:t>
      </w:r>
      <w:r>
        <w:rPr>
          <w:b/>
          <w:u w:val="single"/>
        </w:rPr>
        <w:t xml:space="preserve">пп</w:t>
      </w:r>
      <w:r>
        <w:rPr>
          <w:b/>
          <w:u w:val="single"/>
        </w:rPr>
        <w:t xml:space="preserve">. 5.10-5.1</w:t>
      </w:r>
      <w:r>
        <w:rPr>
          <w:b/>
          <w:u w:val="single"/>
        </w:rPr>
        <w:t xml:space="preserve">6</w:t>
      </w:r>
      <w:r>
        <w:rPr>
          <w:b/>
          <w:u w:val="single"/>
        </w:rPr>
        <w:t xml:space="preserve">]: </w:t>
      </w:r>
    </w:p>
    <w:p>
      <w:pPr>
        <w:numPr>
          <w:numId w:val="21"/>
          <w:ilvl w:val="1"/>
        </w:numPr>
        <w:spacing w:before="60" w:after="100"/>
        <w:jc w:val="both"/>
      </w:pPr>
      <w:r>
        <w:t xml:space="preserve">Аварийные ситуации при теплоснабжении на источниках тепловой </w:t>
      </w:r>
      <w:r>
        <w:rPr>
          <w:rFonts w:eastAsia="Calibri"/>
        </w:rPr>
        <w:t xml:space="preserve">энергии, тепловых сетях и </w:t>
      </w:r>
      <w:r>
        <w:rPr>
          <w:rFonts w:eastAsia="Calibri"/>
        </w:rPr>
        <w:t xml:space="preserve">теплопотребляющих</w:t>
      </w:r>
      <w:r>
        <w:rPr>
          <w:rFonts w:eastAsia="Calibri"/>
        </w:rPr>
        <w:t xml:space="preserve"> установках потребителей тепловой энергии (далее тепловые энергоустановки) </w:t>
      </w:r>
      <w:r>
        <w:t xml:space="preserve">в результате которых произошли:</w:t>
      </w:r>
    </w:p>
    <w:p>
      <w:pPr>
        <w:numPr>
          <w:numId w:val="20"/>
          <w:ilvl w:val="0"/>
        </w:numPr>
        <w:tabs>
          <w:tab w:val="left" w:pos="993"/>
        </w:tabs>
        <w:spacing w:before="20"/>
        <w:jc w:val="both"/>
        <w:rPr>
          <w:rFonts w:eastAsia="Calibri"/>
        </w:rPr>
      </w:pPr>
      <w:r>
        <w:rPr>
          <w:rFonts w:eastAsia="Calibri"/>
        </w:rPr>
        <w:t xml:space="preserve">прекращение теплоснабжения потребителей в отопительный период на срок более 24 часов;</w:t>
      </w:r>
    </w:p>
    <w:p>
      <w:pPr>
        <w:numPr>
          <w:numId w:val="20"/>
          <w:ilvl w:val="0"/>
        </w:numPr>
        <w:tabs>
          <w:tab w:val="left" w:pos="993"/>
        </w:tabs>
        <w:spacing w:before="20"/>
        <w:jc w:val="both"/>
        <w:rPr>
          <w:rFonts w:eastAsia="Calibri"/>
        </w:rPr>
      </w:pPr>
      <w:r>
        <w:rPr>
          <w:rFonts w:eastAsia="Calibri"/>
        </w:rPr>
        <w:t xml:space="preserve">разрушение или повреждение оборудования тепловых энергоустановок, которое привело к выходу из строя источников тепловой энергии или тепловых сетей на срок 3 суток и более;</w:t>
      </w:r>
    </w:p>
    <w:p>
      <w:pPr>
        <w:numPr>
          <w:numId w:val="20"/>
          <w:ilvl w:val="0"/>
        </w:numPr>
        <w:tabs>
          <w:tab w:val="left" w:pos="993"/>
        </w:tabs>
        <w:spacing w:before="20"/>
        <w:jc w:val="both"/>
        <w:rPr>
          <w:rFonts w:eastAsia="Calibri"/>
        </w:rPr>
      </w:pPr>
      <w:r>
        <w:rPr>
          <w:rFonts w:eastAsia="Calibri"/>
        </w:rPr>
        <w:t xml:space="preserve">разрушение или повреждение сооружений, в которых находятся тепловые энергоустановки, которое привело к прекращению теплоснабжения потребителей.</w:t>
      </w:r>
    </w:p>
    <w:p>
      <w:pPr>
        <w:numPr>
          <w:numId w:val="21"/>
          <w:ilvl w:val="1"/>
        </w:numPr>
        <w:spacing w:before="60" w:after="120"/>
        <w:jc w:val="both"/>
      </w:pPr>
      <w:r>
        <w:t xml:space="preserve">Аварийные ситуации при теплоснабжении, не повлекшие последствия, предусмотренные </w:t>
      </w:r>
      <w:hyperlink w:anchor="Par0" w:history="1">
        <w:r>
          <w:t xml:space="preserve">пунктом 5.10</w:t>
        </w:r>
      </w:hyperlink>
      <w:r>
        <w:t xml:space="preserve"> настоящей Методики, но приведшие к перерыву теплоснабжения потребителей на срок более 6 часов или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 </w:t>
      </w:r>
    </w:p>
    <w:p>
      <w:pPr>
        <w:numPr>
          <w:numId w:val="21"/>
          <w:ilvl w:val="1"/>
        </w:numPr>
        <w:spacing w:before="60" w:after="120"/>
        <w:jc w:val="both"/>
      </w:pPr>
      <w:r>
        <w:t xml:space="preserve">Нарушения в работе тепловых энергоустановок, не повлекшие последствия, предусмотренные пунктами 5.10-5.11 настоящей методики, но приведшие к перерыву теплоснабжения потребителей на срок до 6 часов или к снижению температуры теплоносителя на срок более 1 часа</w:t>
      </w:r>
      <w:r>
        <w:rPr>
          <w:rStyle w:val="a6"/>
        </w:rPr>
        <w:footnoteReference w:id="2"/>
      </w:r>
      <w:r>
        <w:t xml:space="preserve"> в подающем трубопроводе тепловой сети в отопительный период от 3% до 30% по сравнению с температурным графиком системы теплоснабжения.</w:t>
      </w:r>
    </w:p>
    <w:p>
      <w:pPr>
        <w:numPr>
          <w:numId w:val="21"/>
          <w:ilvl w:val="1"/>
        </w:numPr>
        <w:spacing w:before="60" w:after="120"/>
        <w:jc w:val="both"/>
      </w:pPr>
      <w:r>
        <w:t xml:space="preserve">Нарушения в работе системы горячего водоснабжения, приведшие к прекращению горячего водоснабжения потребителей.</w:t>
      </w:r>
    </w:p>
    <w:p>
      <w:pPr>
        <w:numPr>
          <w:numId w:val="21"/>
          <w:ilvl w:val="1"/>
        </w:numPr>
        <w:spacing w:before="60"/>
        <w:jc w:val="both"/>
      </w:pPr>
      <w:r>
        <w:t xml:space="preserve">Нарушения в работе энергооборудования теплоснабжающих организаций</w:t>
      </w:r>
      <w:r>
        <w:rPr>
          <w:rStyle w:val="a6"/>
        </w:rPr>
        <w:footnoteReference w:id="3"/>
      </w:r>
      <w:r>
        <w:t xml:space="preserve">, не повлекшие последствия, предусмотренные пунктами 5.9-5.13 настоящей Методики:</w:t>
      </w:r>
    </w:p>
    <w:p>
      <w:pPr>
        <w:numPr>
          <w:numId w:val="21"/>
          <w:ilvl w:val="2"/>
        </w:numPr>
        <w:tabs>
          <w:tab w:val="left" w:pos="1134"/>
          <w:tab w:val="left" w:pos="1560"/>
        </w:tabs>
        <w:spacing w:before="40"/>
        <w:ind w:left="709" w:right="-81" w:firstLine="0"/>
        <w:jc w:val="both"/>
      </w:pPr>
      <w:r>
        <w:t xml:space="preserve">повреждение основного</w:t>
      </w:r>
      <w:r>
        <w:rPr>
          <w:rStyle w:val="a6"/>
        </w:rPr>
        <w:footnoteReference w:id="4"/>
      </w:r>
      <w:r>
        <w:t xml:space="preserve"> энергооборудования, а также его отключение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pPr>
        <w:numPr>
          <w:numId w:val="21"/>
          <w:ilvl w:val="2"/>
        </w:numPr>
        <w:tabs>
          <w:tab w:val="left" w:pos="1134"/>
          <w:tab w:val="left" w:pos="1560"/>
        </w:tabs>
        <w:spacing w:before="40"/>
        <w:ind w:left="709" w:right="-81" w:firstLine="0"/>
        <w:jc w:val="both"/>
      </w:pPr>
      <w:r>
        <w:t xml:space="preserve">повреждение вспомогательного энергооборудования вследствие ошибочных действий оперативного персонала;</w:t>
      </w:r>
    </w:p>
    <w:p>
      <w:pPr>
        <w:numPr>
          <w:numId w:val="21"/>
          <w:ilvl w:val="2"/>
        </w:numPr>
        <w:tabs>
          <w:tab w:val="left" w:pos="1134"/>
          <w:tab w:val="left" w:pos="1560"/>
        </w:tabs>
        <w:spacing w:before="40"/>
        <w:ind w:left="709" w:right="-81" w:firstLine="0"/>
        <w:jc w:val="both"/>
      </w:pPr>
      <w:r>
        <w:t xml:space="preserve">повреждение объекта электросетевого хозяйства (высший класс напряжения 6 </w:t>
      </w:r>
      <w:r>
        <w:t xml:space="preserve">кВ</w:t>
      </w:r>
      <w:r>
        <w:t xml:space="preserve"> и выше), принадлежащего теплоснабжающей организации на праве собственности или на ином законном основании, а также отключение такого объекта электросетевого хозяйства действием автоматических защитных устройств или оперативным персоналом вследствие недопустимых отклонений технологических параметров или ошибочных действий оперативного персонала;</w:t>
      </w:r>
    </w:p>
    <w:p>
      <w:pPr>
        <w:numPr>
          <w:numId w:val="21"/>
          <w:ilvl w:val="2"/>
        </w:numPr>
        <w:tabs>
          <w:tab w:val="left" w:pos="1134"/>
          <w:tab w:val="left" w:pos="1560"/>
        </w:tabs>
        <w:spacing w:before="40"/>
        <w:ind w:left="709" w:right="-81" w:firstLine="0"/>
        <w:jc w:val="both"/>
      </w:pPr>
      <w:r>
        <w:t xml:space="preserve">нанесение вреда третьим лицам в результате возникновения нарушений в работе энергооборудования;</w:t>
      </w:r>
    </w:p>
    <w:p>
      <w:pPr>
        <w:numPr>
          <w:numId w:val="21"/>
          <w:ilvl w:val="2"/>
        </w:numPr>
        <w:tabs>
          <w:tab w:val="left" w:pos="1134"/>
          <w:tab w:val="left" w:pos="1560"/>
        </w:tabs>
        <w:spacing w:before="40"/>
        <w:ind w:left="709" w:right="-81" w:firstLine="0"/>
        <w:jc w:val="both"/>
      </w:pPr>
      <w:r>
        <w:t xml:space="preserve">разрушение технологических зданий и сооружений;</w:t>
      </w:r>
    </w:p>
    <w:p>
      <w:pPr>
        <w:numPr>
          <w:numId w:val="21"/>
          <w:ilvl w:val="2"/>
        </w:numPr>
        <w:tabs>
          <w:tab w:val="left" w:pos="1134"/>
          <w:tab w:val="left" w:pos="1560"/>
        </w:tabs>
        <w:spacing w:before="40"/>
        <w:ind w:left="709" w:right="-81" w:firstLine="0"/>
        <w:jc w:val="both"/>
      </w:pPr>
      <w:r>
        <w:t xml:space="preserve">отключение (повреждение) или разрушения оборудования или устройств, явившиеся причиной или следствием </w:t>
      </w:r>
      <w:r>
        <w:t xml:space="preserve">пожара</w:t>
      </w:r>
      <w:r>
        <w:t xml:space="preserve"> или возгорания.</w:t>
      </w:r>
    </w:p>
    <w:p>
      <w:pPr>
        <w:numPr>
          <w:numId w:val="21"/>
          <w:ilvl w:val="1"/>
        </w:numPr>
        <w:spacing w:before="60" w:after="120"/>
        <w:jc w:val="both"/>
      </w:pPr>
      <w:r>
        <w:t xml:space="preserve">Аварии и инциденты, на объектах теплоснабжающих организаций и источниках тепловой энергии электростанций, расследование причин которых осуществляется в соответствии с законодательством в области промышленной и экологической безопасности, а также гидротехнических сооружений.</w:t>
      </w:r>
    </w:p>
    <w:p>
      <w:pPr>
        <w:numPr>
          <w:numId w:val="21"/>
          <w:ilvl w:val="1"/>
        </w:numPr>
        <w:spacing w:before="60" w:after="120"/>
        <w:jc w:val="both"/>
      </w:pPr>
      <w:r>
        <w:t xml:space="preserve">Нанесение ущерба (вреда) третьим лицам в результате проведения ремонтно-восстановительных работ, испытаний энергооборудования теплоснабжающих организаций (события, не повлекшие последствия, предусмотренные пунктами 5.9-5.1</w:t>
      </w:r>
      <w:r>
        <w:t xml:space="preserve">5</w:t>
      </w:r>
      <w:r>
        <w:t xml:space="preserve">).</w:t>
      </w:r>
    </w:p>
    <w:p>
      <w:pPr>
        <w:pStyle w:val="1"/>
        <w:numPr>
          <w:numId w:val="38"/>
          <w:ilvl w:val="0"/>
        </w:numPr>
        <w:spacing w:after="120"/>
        <w:jc w:val="both"/>
        <w:rPr>
          <w:bCs w:val="0"/>
        </w:rPr>
      </w:pPr>
      <w:bookmarkStart w:id="15" w:name="_Toc309304216"/>
      <w:bookmarkStart w:id="16" w:name="_Toc488848703"/>
      <w:bookmarkStart w:id="17" w:name="_Toc490640157"/>
      <w:bookmarkStart w:id="18" w:name="_Toc490640186"/>
      <w:bookmarkStart w:id="19" w:name="_Toc10707073"/>
      <w:r>
        <w:rPr>
          <w:bCs w:val="0"/>
        </w:rPr>
        <w:t xml:space="preserve">ПОРЯДОК РАСЧЕТА</w:t>
      </w:r>
      <w:bookmarkEnd w:id="15"/>
      <w:r>
        <w:rPr>
          <w:bCs w:val="0"/>
        </w:rPr>
        <w:t xml:space="preserve"> ЭКОНОМИЧЕСКОГО УЩЕРБА ОТ АВАРИЙ И НАРУШЕНИЙ В РАБОТЕ ЭНЕРГООБОРУДОВАНИЯ</w:t>
      </w:r>
      <w:bookmarkEnd w:id="16"/>
      <w:bookmarkEnd w:id="17"/>
      <w:bookmarkEnd w:id="18"/>
      <w:bookmarkEnd w:id="19"/>
    </w:p>
    <w:p>
      <w:pPr>
        <w:spacing w:before="60" w:after="120"/>
        <w:jc w:val="both"/>
      </w:pPr>
      <w:r>
        <w:t xml:space="preserve">Расчету (оценке) подлежит ущерб от всех событий, изложенных в п.5 настоящей Методики.</w:t>
      </w:r>
    </w:p>
    <w:p>
      <w:pPr>
        <w:jc w:val="both"/>
      </w:pPr>
      <w:r>
        <w:t xml:space="preserve">Общий экономический ущерб (</w:t>
      </w:r>
      <w:r>
        <w:rPr>
          <w:position w:val="-6"/>
        </w:rPr>
        <w:object w:dxaOrig="26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0.80pt;height:10.80pt;mso-wrap-distance-left:0.00pt;mso-wrap-distance-top:0.00pt;mso-wrap-distance-right:0.00pt;mso-wrap-distance-bottom:0.00pt;" filled="f" stroked="f">
            <v:path textboxrect="0,0,0,0"/>
            <v:imagedata r:id="rId23" o:title=""/>
          </v:shape>
          <o:OLEObject DrawAspect="Content" r:id="rId24" ObjectID="_1525044" ProgID="Equation.3" ShapeID="_x0000_i4" Type="Embed"/>
        </w:object>
      </w:r>
      <w:r>
        <w:t xml:space="preserve">) от аварии и нарушений в работе оборудования, представляется в виде суммы составляющих:</w:t>
      </w:r>
    </w:p>
    <w:p>
      <w:pPr>
        <w:jc w:val="center"/>
      </w:pPr>
      <w:r>
        <w:rPr>
          <w:position w:val="-28"/>
        </w:rPr>
        <w:object w:dxaOrig="284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39.40pt;height:34.55pt;mso-wrap-distance-left:0.00pt;mso-wrap-distance-top:0.00pt;mso-wrap-distance-right:0.00pt;mso-wrap-distance-bottom:0.00pt;" filled="f" stroked="f">
            <v:path textboxrect="0,0,0,0"/>
            <v:imagedata r:id="rId25" o:title=""/>
          </v:shape>
          <o:OLEObject DrawAspect="Content" r:id="rId26" ObjectID="_1525045" ProgID="Equation.3" ShapeID="_x0000_i5" Type="Embed"/>
        </w:object>
      </w:r>
      <w:r>
        <w:rPr>
          <w:vertAlign w:val="subscript"/>
        </w:rPr>
        <w:t xml:space="preserve">, </w:t>
      </w:r>
      <w:r>
        <w:t xml:space="preserve">(руб.), где:</w:t>
      </w:r>
      <w:r>
        <w:tab/>
      </w:r>
      <w:r>
        <w:tab/>
      </w:r>
    </w:p>
    <w:p>
      <w:pPr>
        <w:numPr>
          <w:numId w:val="5"/>
          <w:ilvl w:val="0"/>
        </w:numPr>
        <w:rPr>
          <w:i/>
        </w:rPr>
      </w:pPr>
      <w:r>
        <w:rPr>
          <w:position w:val="-10"/>
        </w:rPr>
        <w:object w:dxaOrig="3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9.55pt;height:14.15pt;mso-wrap-distance-left:0.00pt;mso-wrap-distance-top:0.00pt;mso-wrap-distance-right:0.00pt;mso-wrap-distance-bottom:0.00pt;" filled="f" stroked="f">
            <v:path textboxrect="0,0,0,0"/>
            <v:imagedata r:id="rId27" o:title=""/>
          </v:shape>
          <o:OLEObject DrawAspect="Content" r:id="rId28" ObjectID="_1525046" ProgID="Equation.3" ShapeID="_x0000_i6" Type="Embed"/>
        </w:object>
      </w:r>
      <w:r>
        <w:t xml:space="preserve">- затраты на ведение ремонтных работ;</w:t>
      </w:r>
    </w:p>
    <w:p>
      <w:pPr>
        <w:numPr>
          <w:numId w:val="5"/>
          <w:ilvl w:val="0"/>
        </w:numPr>
        <w:rPr>
          <w:i/>
        </w:rPr>
      </w:pPr>
      <w:r>
        <w:rPr>
          <w:position w:val="-10"/>
        </w:rPr>
        <w:object w:dxaOrig="32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14.15pt;height:14.15pt;mso-wrap-distance-left:0.00pt;mso-wrap-distance-top:0.00pt;mso-wrap-distance-right:0.00pt;mso-wrap-distance-bottom:0.00pt;" filled="f" stroked="f">
            <v:path textboxrect="0,0,0,0"/>
            <v:imagedata r:id="rId29" o:title=""/>
          </v:shape>
          <o:OLEObject DrawAspect="Content" r:id="rId30" ObjectID="_1525047" ProgID="Equation.3" ShapeID="_x0000_i7" Type="Embed"/>
        </w:object>
      </w:r>
      <w:r>
        <w:t xml:space="preserve">- безвозвратные потери средств производства;</w:t>
      </w:r>
    </w:p>
    <w:p>
      <w:pPr>
        <w:numPr>
          <w:numId w:val="5"/>
          <w:ilvl w:val="0"/>
        </w:numPr>
        <w:rPr>
          <w:i/>
        </w:rPr>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14.15pt;height:19.55pt;mso-wrap-distance-left:0.00pt;mso-wrap-distance-top:0.00pt;mso-wrap-distance-right:0.00pt;mso-wrap-distance-bottom:0.00pt;" filled="f" stroked="f">
            <v:path textboxrect="0,0,0,0"/>
            <v:imagedata r:id="rId31" o:title=""/>
          </v:shape>
          <o:OLEObject DrawAspect="Content" r:id="rId32" ObjectID="_1525048" ProgID="Equation.3" ShapeID="_x0000_i8" Type="Embed"/>
        </w:object>
      </w:r>
      <w:r>
        <w:t xml:space="preserve">- потери от ухудшения технологических параметров;</w:t>
      </w:r>
    </w:p>
    <w:p>
      <w:pPr>
        <w:numPr>
          <w:numId w:val="5"/>
          <w:ilvl w:val="0"/>
        </w:numPr>
        <w:rPr>
          <w:i/>
        </w:rPr>
      </w:pPr>
      <w:r>
        <w:rPr>
          <w:position w:val="-10"/>
        </w:rPr>
        <w:object w:dxaOrig="32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14.15pt;height:14.15pt;mso-wrap-distance-left:0.00pt;mso-wrap-distance-top:0.00pt;mso-wrap-distance-right:0.00pt;mso-wrap-distance-bottom:0.00pt;" filled="f" stroked="f">
            <v:path textboxrect="0,0,0,0"/>
            <v:imagedata r:id="rId33" o:title=""/>
          </v:shape>
          <o:OLEObject DrawAspect="Content" r:id="rId34" ObjectID="_1525049" ProgID="Equation.3" ShapeID="_x0000_i9" Type="Embed"/>
        </w:object>
      </w:r>
      <w:r>
        <w:t xml:space="preserve">- пусковые затраты;</w:t>
      </w:r>
    </w:p>
    <w:p>
      <w:pPr>
        <w:numPr>
          <w:numId w:val="5"/>
          <w:ilvl w:val="0"/>
        </w:numPr>
        <w:rPr>
          <w:i/>
        </w:rPr>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width:14.15pt;height:19.55pt;mso-wrap-distance-left:0.00pt;mso-wrap-distance-top:0.00pt;mso-wrap-distance-right:0.00pt;mso-wrap-distance-bottom:0.00pt;" filled="f" stroked="f">
            <v:path textboxrect="0,0,0,0"/>
            <v:imagedata r:id="rId35" o:title=""/>
          </v:shape>
          <o:OLEObject DrawAspect="Content" r:id="rId36" ObjectID="_15250410" ProgID="Equation.3" ShapeID="_x0000_i10" Type="Embed"/>
        </w:object>
      </w:r>
      <w:r>
        <w:t xml:space="preserve">- затраты на возмещение экологического ущерба;</w:t>
      </w:r>
    </w:p>
    <w:p>
      <w:pPr>
        <w:numPr>
          <w:numId w:val="5"/>
          <w:ilvl w:val="0"/>
        </w:numPr>
        <w:rPr>
          <w:i/>
        </w:rPr>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14.15pt;height:19.55pt;mso-wrap-distance-left:0.00pt;mso-wrap-distance-top:0.00pt;mso-wrap-distance-right:0.00pt;mso-wrap-distance-bottom:0.00pt;" filled="f" stroked="f">
            <v:path textboxrect="0,0,0,0"/>
            <v:imagedata r:id="rId37" o:title=""/>
          </v:shape>
          <o:OLEObject DrawAspect="Content" r:id="rId38" ObjectID="_15250411" ProgID="Equation.3" ShapeID="_x0000_i11" Type="Embed"/>
        </w:object>
      </w:r>
      <w:r>
        <w:t xml:space="preserve">- затраты на возмещение социального ущерба;</w:t>
      </w:r>
    </w:p>
    <w:p>
      <w:pPr>
        <w:numPr>
          <w:numId w:val="5"/>
          <w:ilvl w:val="0"/>
        </w:numPr>
        <w:rPr>
          <w:i/>
        </w:rPr>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14.15pt;height:19.55pt;mso-wrap-distance-left:0.00pt;mso-wrap-distance-top:0.00pt;mso-wrap-distance-right:0.00pt;mso-wrap-distance-bottom:0.00pt;" filled="f" stroked="f">
            <v:path textboxrect="0,0,0,0"/>
            <v:imagedata r:id="rId39" o:title=""/>
          </v:shape>
          <o:OLEObject DrawAspect="Content" r:id="rId40" ObjectID="_15250412" ProgID="Equation.3" ShapeID="_x0000_i12" Type="Embed"/>
        </w:object>
      </w:r>
      <w:r>
        <w:t xml:space="preserve">- затраты на возмещение убытков потребителям;</w:t>
      </w:r>
    </w:p>
    <w:p>
      <w:pPr>
        <w:numPr>
          <w:numId w:val="5"/>
          <w:ilvl w:val="0"/>
        </w:numPr>
        <w:rPr>
          <w:i/>
        </w:rPr>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4.15pt;height:19.55pt;mso-wrap-distance-left:0.00pt;mso-wrap-distance-top:0.00pt;mso-wrap-distance-right:0.00pt;mso-wrap-distance-bottom:0.00pt;" filled="f" stroked="f">
            <v:path textboxrect="0,0,0,0"/>
            <v:imagedata r:id="rId41" o:title=""/>
          </v:shape>
          <o:OLEObject DrawAspect="Content" r:id="rId42" ObjectID="_15250413" ProgID="Equation.3" ShapeID="_x0000_i13" Type="Embed"/>
        </w:object>
      </w:r>
      <w:r>
        <w:t xml:space="preserve">- потери на балансирующем рынке по собственной инициативе;</w:t>
      </w:r>
    </w:p>
    <w:p>
      <w:pPr>
        <w:numPr>
          <w:numId w:val="5"/>
          <w:ilvl w:val="0"/>
        </w:numPr>
        <w:rPr>
          <w:i/>
        </w:rPr>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4.15pt;height:19.55pt;mso-wrap-distance-left:0.00pt;mso-wrap-distance-top:0.00pt;mso-wrap-distance-right:0.00pt;mso-wrap-distance-bottom:0.00pt;" filled="f" stroked="f">
            <v:path textboxrect="0,0,0,0"/>
            <v:imagedata r:id="rId43" o:title=""/>
          </v:shape>
          <o:OLEObject DrawAspect="Content" r:id="rId44" ObjectID="_15250414" ProgID="Equation.3" ShapeID="_x0000_i14" Type="Embed"/>
        </w:object>
      </w:r>
      <w:r>
        <w:t xml:space="preserve">- потери от частичной неоплаты установленной мощности электростанции;</w:t>
      </w:r>
    </w:p>
    <w:p>
      <w:pPr>
        <w:numPr>
          <w:numId w:val="5"/>
          <w:ilvl w:val="0"/>
        </w:numPr>
        <w:rPr>
          <w:i/>
        </w:rPr>
      </w:pPr>
      <w:r>
        <w:rPr>
          <w:position w:val="-12"/>
        </w:rPr>
        <w:object w:dxaOrig="3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width:15.80pt;height:19.55pt;mso-wrap-distance-left:0.00pt;mso-wrap-distance-top:0.00pt;mso-wrap-distance-right:0.00pt;mso-wrap-distance-bottom:0.00pt;" filled="f" stroked="f">
            <v:path textboxrect="0,0,0,0"/>
            <v:imagedata r:id="rId45" o:title=""/>
          </v:shape>
          <o:OLEObject DrawAspect="Content" r:id="rId46" ObjectID="_15250415" ProgID="Equation.3" ShapeID="_x0000_i15" Type="Embed"/>
        </w:object>
      </w:r>
      <w:r>
        <w:t xml:space="preserve"> - потери от неоказания или неполного оказания услуг по НПРЧ;</w:t>
      </w:r>
    </w:p>
    <w:p>
      <w:pPr>
        <w:numPr>
          <w:numId w:val="5"/>
          <w:ilvl w:val="0"/>
        </w:numPr>
        <w:rPr>
          <w:i/>
        </w:rPr>
      </w:pPr>
      <w:r>
        <w:rPr>
          <w:position w:val="-14"/>
        </w:rPr>
        <w:object w:dxaOrig="4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19.55pt;height:15.80pt;mso-wrap-distance-left:0.00pt;mso-wrap-distance-top:0.00pt;mso-wrap-distance-right:0.00pt;mso-wrap-distance-bottom:0.00pt;" filled="f" stroked="f">
            <v:path textboxrect="0,0,0,0"/>
            <v:imagedata r:id="rId47" o:title=""/>
          </v:shape>
          <o:OLEObject DrawAspect="Content" r:id="rId48" ObjectID="_15250416" ProgID="Equation.3" ShapeID="_x0000_i16" Type="Embed"/>
        </w:object>
      </w:r>
      <w:r>
        <w:t xml:space="preserve">- прочие расходы;</w:t>
      </w:r>
    </w:p>
    <w:p>
      <w:pPr>
        <w:numPr>
          <w:numId w:val="5"/>
          <w:ilvl w:val="0"/>
        </w:numPr>
        <w:rPr>
          <w:i/>
        </w:rPr>
      </w:pPr>
      <w:r>
        <w:rPr>
          <w:position w:val="-10"/>
        </w:rPr>
        <w:object w:dxaOrig="4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19.55pt;height:14.15pt;mso-wrap-distance-left:0.00pt;mso-wrap-distance-top:0.00pt;mso-wrap-distance-right:0.00pt;mso-wrap-distance-bottom:0.00pt;" filled="f" stroked="f">
            <v:path textboxrect="0,0,0,0"/>
            <v:imagedata r:id="rId49" o:title=""/>
          </v:shape>
          <o:OLEObject DrawAspect="Content" r:id="rId50" ObjectID="_15250417" ProgID="Equation.3" ShapeID="_x0000_i17" Type="Embed"/>
        </w:object>
      </w:r>
      <w:r>
        <w:t xml:space="preserve">- упущенная выгода от недовыработки энергии;</w:t>
      </w:r>
    </w:p>
    <w:p>
      <w:pPr>
        <w:numPr>
          <w:numId w:val="5"/>
          <w:ilvl w:val="0"/>
        </w:numPr>
        <w:rPr>
          <w:i/>
        </w:rPr>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24.55pt;height:19.55pt;mso-wrap-distance-left:0.00pt;mso-wrap-distance-top:0.00pt;mso-wrap-distance-right:0.00pt;mso-wrap-distance-bottom:0.00pt;" filled="f" stroked="f">
            <v:path textboxrect="0,0,0,0"/>
            <v:imagedata r:id="rId51" o:title=""/>
          </v:shape>
          <o:OLEObject DrawAspect="Content" r:id="rId52" ObjectID="_15250418" ProgID="Equation.3" ShapeID="_x0000_i18" Type="Embed"/>
        </w:object>
      </w:r>
      <w:r>
        <w:t xml:space="preserve">- возвратные суммы.</w:t>
      </w:r>
    </w:p>
    <w:p>
      <w:pPr>
        <w:jc w:val="both"/>
        <w:rPr>
          <w:position w:val="-10"/>
        </w:rPr>
      </w:pPr>
      <w:r>
        <w:t xml:space="preserve">В случае, если аварии и нарушения в работе оборудования не приводят к прекращению (ограничению) выдачи (поставки) электрической и (или) тепловой энергии, то показатели, оценивающие составляющие ущерба (например, </w:t>
      </w: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14.15pt;height:19.55pt;mso-wrap-distance-left:0.00pt;mso-wrap-distance-top:0.00pt;mso-wrap-distance-right:0.00pt;mso-wrap-distance-bottom:0.00pt;" filled="f" stroked="f">
            <v:path textboxrect="0,0,0,0"/>
            <v:imagedata r:id="rId53" o:title=""/>
          </v:shape>
          <o:OLEObject DrawAspect="Content" r:id="rId54" ObjectID="_15250419" ProgID="Equation.3" ShapeID="_x0000_i19" Type="Embed"/>
        </w:object>
      </w:r>
      <w:r>
        <w:rPr>
          <w:position w:val="-12"/>
        </w:rPr>
        <w:t xml:space="preserve">,</w:t>
      </w: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width:14.15pt;height:19.55pt;mso-wrap-distance-left:0.00pt;mso-wrap-distance-top:0.00pt;mso-wrap-distance-right:0.00pt;mso-wrap-distance-bottom:0.00pt;" filled="f" stroked="f">
            <v:path textboxrect="0,0,0,0"/>
            <v:imagedata r:id="rId55" o:title=""/>
          </v:shape>
          <o:OLEObject DrawAspect="Content" r:id="rId56" ObjectID="_15250420" ProgID="Equation.3" ShapeID="_x0000_i20" Type="Embed"/>
        </w:object>
      </w:r>
      <w:r>
        <w:rPr>
          <w:position w:val="-12"/>
        </w:rPr>
        <w:t xml:space="preserve">,</w:t>
      </w:r>
      <w:r>
        <w:rPr>
          <w:position w:val="-12"/>
        </w:rPr>
        <w:object w:dxaOrig="3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15.80pt;height:19.55pt;mso-wrap-distance-left:0.00pt;mso-wrap-distance-top:0.00pt;mso-wrap-distance-right:0.00pt;mso-wrap-distance-bottom:0.00pt;" filled="f" stroked="f">
            <v:path textboxrect="0,0,0,0"/>
            <v:imagedata r:id="rId57" o:title=""/>
          </v:shape>
          <o:OLEObject DrawAspect="Content" r:id="rId58" ObjectID="_15250421" ProgID="Equation.3" ShapeID="_x0000_i21" Type="Embed"/>
        </w:object>
      </w:r>
      <w:r>
        <w:rPr>
          <w:position w:val="-12"/>
        </w:rPr>
        <w:t xml:space="preserve">,</w:t>
      </w:r>
      <w:r>
        <w:rPr>
          <w:position w:val="-10"/>
        </w:rPr>
        <w:object w:dxaOrig="4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width:19.55pt;height:14.15pt;mso-wrap-distance-left:0.00pt;mso-wrap-distance-top:0.00pt;mso-wrap-distance-right:0.00pt;mso-wrap-distance-bottom:0.00pt;" filled="f" stroked="f">
            <v:path textboxrect="0,0,0,0"/>
            <v:imagedata r:id="rId59" o:title=""/>
          </v:shape>
          <o:OLEObject DrawAspect="Content" r:id="rId60" ObjectID="_15250422" ProgID="Equation.3" ShapeID="_x0000_i22" Type="Embed"/>
        </w:object>
      </w:r>
      <w:r>
        <w:rPr>
          <w:position w:val="-10"/>
        </w:rPr>
        <w:t xml:space="preserve">) принимаются равными нулю. </w:t>
      </w:r>
    </w:p>
    <w:p>
      <w:pPr>
        <w:pStyle w:val="aff4"/>
        <w:keepNext/>
        <w:numPr>
          <w:numId w:val="13"/>
          <w:ilvl w:val="0"/>
        </w:numPr>
        <w:outlineLvl w:val="0"/>
        <w:rPr>
          <w:b/>
          <w:vanish/>
          <w:color w:val="ffffff"/>
          <w:sz w:val="2"/>
          <w:szCs w:val="2"/>
        </w:rPr>
      </w:pPr>
      <w:bookmarkStart w:id="20" w:name="_Toc488674662"/>
      <w:bookmarkStart w:id="21" w:name="_Toc488675263"/>
      <w:bookmarkStart w:id="22" w:name="_Toc488675608"/>
      <w:bookmarkStart w:id="23" w:name="_Toc488848652"/>
      <w:bookmarkStart w:id="24" w:name="_Toc488848704"/>
      <w:bookmarkStart w:id="25" w:name="_Toc490640129"/>
      <w:bookmarkStart w:id="26" w:name="_Toc490640158"/>
      <w:bookmarkStart w:id="27" w:name="_Toc490640187"/>
      <w:bookmarkStart w:id="28" w:name="_Toc490640297"/>
      <w:bookmarkStart w:id="29" w:name="_Toc3324070"/>
      <w:bookmarkStart w:id="30" w:name="_Toc4414440"/>
      <w:bookmarkStart w:id="31" w:name="_Toc4509001"/>
      <w:bookmarkStart w:id="32" w:name="_Toc4519685"/>
      <w:bookmarkStart w:id="33" w:name="_Toc4519772"/>
      <w:bookmarkStart w:id="34" w:name="_Toc4519861"/>
      <w:bookmarkStart w:id="35" w:name="_Toc4519904"/>
      <w:bookmarkStart w:id="36" w:name="_Toc4755766"/>
      <w:bookmarkStart w:id="37" w:name="_Toc4755893"/>
      <w:bookmarkStart w:id="38" w:name="_Toc4768619"/>
      <w:bookmarkStart w:id="39" w:name="_Toc4768887"/>
      <w:bookmarkStart w:id="40" w:name="_Toc5897400"/>
      <w:bookmarkStart w:id="41" w:name="_Toc5897427"/>
      <w:bookmarkStart w:id="42" w:name="_Toc5897474"/>
      <w:bookmarkStart w:id="43" w:name="_Toc5897783"/>
      <w:bookmarkStart w:id="44" w:name="_Toc5897806"/>
      <w:bookmarkStart w:id="45" w:name="_Toc5897884"/>
      <w:bookmarkStart w:id="46" w:name="_Toc5898013"/>
      <w:bookmarkStart w:id="47" w:name="_Toc5899459"/>
      <w:bookmarkStart w:id="48" w:name="_Toc5899480"/>
      <w:bookmarkStart w:id="49" w:name="_Toc5899638"/>
      <w:bookmarkStart w:id="50" w:name="_Toc5899783"/>
      <w:bookmarkStart w:id="51" w:name="_Toc5899834"/>
      <w:bookmarkStart w:id="52" w:name="_Toc5899885"/>
      <w:bookmarkStart w:id="53" w:name="_Toc5899919"/>
      <w:bookmarkStart w:id="54" w:name="_Toc5899972"/>
      <w:bookmarkStart w:id="55" w:name="_Toc5900029"/>
      <w:bookmarkStart w:id="56" w:name="_Toc5900192"/>
      <w:bookmarkStart w:id="57" w:name="_Toc5970081"/>
      <w:bookmarkStart w:id="58" w:name="_Toc6582383"/>
      <w:bookmarkStart w:id="59" w:name="_Toc10650879"/>
      <w:bookmarkStart w:id="60" w:name="_Toc10651157"/>
      <w:bookmarkStart w:id="61" w:name="_Toc10651415"/>
      <w:bookmarkStart w:id="62" w:name="_Toc10707074"/>
      <w:bookmarkStart w:id="63" w:name="_Toc309304217"/>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aff4"/>
        <w:keepNext/>
        <w:numPr>
          <w:numId w:val="13"/>
          <w:ilvl w:val="0"/>
        </w:numPr>
        <w:outlineLvl w:val="0"/>
        <w:rPr>
          <w:b/>
          <w:vanish/>
          <w:color w:val="ffffff"/>
          <w:sz w:val="2"/>
          <w:szCs w:val="2"/>
        </w:rPr>
      </w:pPr>
      <w:bookmarkStart w:id="64" w:name="_Toc488674663"/>
      <w:bookmarkStart w:id="65" w:name="_Toc488675264"/>
      <w:bookmarkStart w:id="66" w:name="_Toc488675609"/>
      <w:bookmarkStart w:id="67" w:name="_Toc488848653"/>
      <w:bookmarkStart w:id="68" w:name="_Toc488848705"/>
      <w:bookmarkStart w:id="69" w:name="_Toc490640130"/>
      <w:bookmarkStart w:id="70" w:name="_Toc490640159"/>
      <w:bookmarkStart w:id="71" w:name="_Toc490640188"/>
      <w:bookmarkStart w:id="72" w:name="_Toc490640298"/>
      <w:bookmarkStart w:id="73" w:name="_Toc3324071"/>
      <w:bookmarkStart w:id="74" w:name="_Toc4414441"/>
      <w:bookmarkStart w:id="75" w:name="_Toc4509002"/>
      <w:bookmarkStart w:id="76" w:name="_Toc4519686"/>
      <w:bookmarkStart w:id="77" w:name="_Toc4519773"/>
      <w:bookmarkStart w:id="78" w:name="_Toc4519862"/>
      <w:bookmarkStart w:id="79" w:name="_Toc4519905"/>
      <w:bookmarkStart w:id="80" w:name="_Toc4755767"/>
      <w:bookmarkStart w:id="81" w:name="_Toc4755894"/>
      <w:bookmarkStart w:id="82" w:name="_Toc4768620"/>
      <w:bookmarkStart w:id="83" w:name="_Toc4768888"/>
      <w:bookmarkStart w:id="84" w:name="_Toc5897401"/>
      <w:bookmarkStart w:id="85" w:name="_Toc5897428"/>
      <w:bookmarkStart w:id="86" w:name="_Toc5897475"/>
      <w:bookmarkStart w:id="87" w:name="_Toc5897784"/>
      <w:bookmarkStart w:id="88" w:name="_Toc5897807"/>
      <w:bookmarkStart w:id="89" w:name="_Toc5897885"/>
      <w:bookmarkStart w:id="90" w:name="_Toc5898014"/>
      <w:bookmarkStart w:id="91" w:name="_Toc5899460"/>
      <w:bookmarkStart w:id="92" w:name="_Toc5899481"/>
      <w:bookmarkStart w:id="93" w:name="_Toc5899639"/>
      <w:bookmarkStart w:id="94" w:name="_Toc5899784"/>
      <w:bookmarkStart w:id="95" w:name="_Toc5899835"/>
      <w:bookmarkStart w:id="96" w:name="_Toc5899886"/>
      <w:bookmarkStart w:id="97" w:name="_Toc5899920"/>
      <w:bookmarkStart w:id="98" w:name="_Toc5899973"/>
      <w:bookmarkStart w:id="99" w:name="_Toc5900030"/>
      <w:bookmarkStart w:id="100" w:name="_Toc5900193"/>
      <w:bookmarkStart w:id="101" w:name="_Toc5970082"/>
      <w:bookmarkStart w:id="102" w:name="_Toc6582384"/>
      <w:bookmarkStart w:id="103" w:name="_Toc10650880"/>
      <w:bookmarkStart w:id="104" w:name="_Toc10651158"/>
      <w:bookmarkStart w:id="105" w:name="_Toc10651416"/>
      <w:bookmarkStart w:id="106" w:name="_Toc10707075"/>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1"/>
        <w:numPr>
          <w:numId w:val="13"/>
          <w:ilvl w:val="1"/>
        </w:numPr>
        <w:rPr>
          <w:bCs w:val="0"/>
        </w:rPr>
      </w:pPr>
      <w:bookmarkStart w:id="107" w:name="_Toc488848706"/>
      <w:bookmarkStart w:id="108" w:name="_Toc490640160"/>
      <w:bookmarkStart w:id="109" w:name="_Toc490640189"/>
      <w:bookmarkStart w:id="110" w:name="_Toc10707076"/>
      <w:r>
        <w:rPr>
          <w:bCs w:val="0"/>
        </w:rPr>
        <w:t xml:space="preserve">Затраты на ведение ремонтных работ </w:t>
      </w:r>
      <w:r>
        <w:rPr>
          <w:b w:val="0"/>
          <w:bCs w:val="0"/>
          <w:i/>
        </w:rPr>
        <w:t xml:space="preserve">(</w:t>
      </w:r>
      <w:r>
        <w:rPr>
          <w:b w:val="0"/>
          <w:bCs w:val="0"/>
          <w:i/>
          <w:lang w:val="en-US"/>
        </w:rPr>
        <w:t xml:space="preserve">U</w:t>
      </w:r>
      <w:r>
        <w:rPr>
          <w:b w:val="0"/>
          <w:bCs w:val="0"/>
          <w:i/>
          <w:vertAlign w:val="subscript"/>
        </w:rPr>
        <w:t xml:space="preserve">1</w:t>
      </w:r>
      <w:r>
        <w:rPr>
          <w:b w:val="0"/>
          <w:bCs w:val="0"/>
          <w:i/>
        </w:rPr>
        <w:t xml:space="preserve">)</w:t>
      </w:r>
      <w:bookmarkEnd w:id="63"/>
      <w:bookmarkEnd w:id="107"/>
      <w:bookmarkEnd w:id="108"/>
      <w:bookmarkEnd w:id="109"/>
      <w:bookmarkEnd w:id="110"/>
    </w:p>
    <w:p>
      <w:pPr>
        <w:jc w:val="both"/>
      </w:pPr>
      <w:r>
        <w:t xml:space="preserve">                      </w:t>
      </w:r>
      <w:r>
        <w:rPr>
          <w:position w:val="-14"/>
        </w:rPr>
        <w:object w:dxaOrig="294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44.85pt;height:15.80pt;mso-wrap-distance-left:0.00pt;mso-wrap-distance-top:0.00pt;mso-wrap-distance-right:0.00pt;mso-wrap-distance-bottom:0.00pt;" filled="f" stroked="f">
            <v:path textboxrect="0,0,0,0"/>
            <v:imagedata r:id="rId61" o:title=""/>
          </v:shape>
          <o:OLEObject DrawAspect="Content" r:id="rId62" ObjectID="_15250423" ProgID="Equation.3" ShapeID="_x0000_i23" Type="Embed"/>
        </w:object>
      </w:r>
      <w:r>
        <w:t xml:space="preserve">, (руб.), где:</w:t>
      </w:r>
    </w:p>
    <w:p>
      <w:pPr>
        <w:numPr>
          <w:numId w:val="6"/>
          <w:ilvl w:val="0"/>
        </w:numPr>
        <w:ind w:left="1080" w:hanging="730"/>
      </w:pPr>
      <w:r>
        <w:rPr>
          <w:position w:val="-14"/>
        </w:rPr>
        <w:object w:dxaOrig="3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width:19.55pt;height:15.80pt;mso-wrap-distance-left:0.00pt;mso-wrap-distance-top:0.00pt;mso-wrap-distance-right:0.00pt;mso-wrap-distance-bottom:0.00pt;" filled="f" stroked="f">
            <v:path textboxrect="0,0,0,0"/>
            <v:imagedata r:id="rId63" o:title=""/>
          </v:shape>
          <o:OLEObject DrawAspect="Content" r:id="rId64" ObjectID="_15250424" ProgID="Equation.3" ShapeID="_x0000_i24" Type="Embed"/>
        </w:object>
      </w:r>
      <w:r>
        <w:t xml:space="preserve">- стоимость ремонтных работ; строительных и монтажных работ, включая стоимость демонтажа;</w:t>
      </w:r>
    </w:p>
    <w:p>
      <w:pPr>
        <w:numPr>
          <w:numId w:val="6"/>
          <w:ilvl w:val="0"/>
        </w:numPr>
        <w:ind w:left="1080" w:hanging="730"/>
        <w:jc w:val="both"/>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4.15pt;height:19.55pt;mso-wrap-distance-left:0.00pt;mso-wrap-distance-top:0.00pt;mso-wrap-distance-right:0.00pt;mso-wrap-distance-bottom:0.00pt;" filled="f" stroked="f">
            <v:path textboxrect="0,0,0,0"/>
            <v:imagedata r:id="rId65" o:title=""/>
          </v:shape>
          <o:OLEObject DrawAspect="Content" r:id="rId66" ObjectID="_15250425" ProgID="Equation.3" ShapeID="_x0000_i25" Type="Embed"/>
        </w:object>
      </w:r>
      <w:r>
        <w:t xml:space="preserve">- стоимость запасных частей и материалов для производства ремонтно-восстановительных работ;</w:t>
      </w:r>
    </w:p>
    <w:p>
      <w:pPr>
        <w:numPr>
          <w:numId w:val="6"/>
          <w:ilvl w:val="0"/>
        </w:numPr>
        <w:ind w:left="1080" w:hanging="730"/>
      </w:pPr>
      <w:r>
        <w:rPr>
          <w:position w:val="-14"/>
        </w:rPr>
        <w:object w:dxaOrig="3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width:15.80pt;height:15.80pt;mso-wrap-distance-left:0.00pt;mso-wrap-distance-top:0.00pt;mso-wrap-distance-right:0.00pt;mso-wrap-distance-bottom:0.00pt;" filled="f" stroked="f">
            <v:path textboxrect="0,0,0,0"/>
            <v:imagedata r:id="rId67" o:title=""/>
          </v:shape>
          <o:OLEObject DrawAspect="Content" r:id="rId68" ObjectID="_15250426" ProgID="Equation.3" ShapeID="_x0000_i26" Type="Embed"/>
        </w:object>
      </w:r>
      <w:r>
        <w:t xml:space="preserve">- транспортные расходы;</w:t>
      </w:r>
    </w:p>
    <w:p>
      <w:pPr>
        <w:numPr>
          <w:numId w:val="6"/>
          <w:ilvl w:val="0"/>
        </w:numPr>
        <w:ind w:left="993" w:hanging="709"/>
        <w:jc w:val="both"/>
      </w:pPr>
      <w:r>
        <w:rPr>
          <w:position w:val="-12"/>
        </w:rPr>
        <w:object w:dxaOrig="27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10.80pt;height:19.55pt;mso-wrap-distance-left:0.00pt;mso-wrap-distance-top:0.00pt;mso-wrap-distance-right:0.00pt;mso-wrap-distance-bottom:0.00pt;" filled="f" stroked="f">
            <v:path textboxrect="0,0,0,0"/>
            <v:imagedata r:id="rId69" o:title=""/>
          </v:shape>
          <o:OLEObject DrawAspect="Content" r:id="rId70" ObjectID="_15250427" ProgID="Equation.3" ShapeID="_x0000_i27" Type="Embed"/>
        </w:object>
      </w:r>
      <w:r>
        <w:t xml:space="preserve">- стоимость наладочных работ, включающая в себя затраты на выполнение работ по проведению испытаний и наладки оборудования, доведению технологических параметров </w:t>
      </w:r>
      <w:r>
        <w:t xml:space="preserve">до значений</w:t>
      </w:r>
      <w:r>
        <w:t xml:space="preserve"> не хуже установленных до возникновения аварии (нарушения в работе оборудования);</w:t>
      </w:r>
    </w:p>
    <w:p>
      <w:pPr>
        <w:numPr>
          <w:numId w:val="6"/>
          <w:ilvl w:val="0"/>
        </w:numPr>
        <w:ind w:left="1080" w:hanging="730"/>
      </w:pPr>
      <w:r>
        <w:rPr>
          <w:position w:val="-14"/>
        </w:rPr>
        <w:object w:dxaOrig="3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width:19.55pt;height:15.80pt;mso-wrap-distance-left:0.00pt;mso-wrap-distance-top:0.00pt;mso-wrap-distance-right:0.00pt;mso-wrap-distance-bottom:0.00pt;" filled="f" stroked="f">
            <v:path textboxrect="0,0,0,0"/>
            <v:imagedata r:id="rId71" o:title=""/>
          </v:shape>
          <o:OLEObject DrawAspect="Content" r:id="rId72" ObjectID="_15250428" ProgID="Equation.3" ShapeID="_x0000_i28" Type="Embed"/>
        </w:object>
      </w:r>
      <w:r>
        <w:t xml:space="preserve">- прочие затраты, связанные с проведением ремонтных работ.</w:t>
      </w:r>
    </w:p>
    <w:p>
      <w:pPr>
        <w:pStyle w:val="1"/>
        <w:numPr>
          <w:numId w:val="13"/>
          <w:ilvl w:val="1"/>
        </w:numPr>
        <w:spacing w:before="120" w:after="120"/>
        <w:rPr>
          <w:bCs w:val="0"/>
        </w:rPr>
      </w:pPr>
      <w:bookmarkStart w:id="111" w:name="_Toc309304218"/>
      <w:bookmarkStart w:id="112" w:name="_Toc488848707"/>
      <w:bookmarkStart w:id="113" w:name="_Toc490640161"/>
      <w:bookmarkStart w:id="114" w:name="_Toc490640190"/>
      <w:bookmarkStart w:id="115" w:name="_Toc10707077"/>
      <w:r>
        <w:rPr>
          <w:bCs w:val="0"/>
        </w:rPr>
        <w:t xml:space="preserve">Безвозвратные потери средств производства </w:t>
      </w:r>
      <w:r>
        <w:rPr>
          <w:b w:val="0"/>
          <w:bCs w:val="0"/>
          <w:i/>
        </w:rPr>
        <w:t xml:space="preserve">(</w:t>
      </w:r>
      <w:r>
        <w:rPr>
          <w:b w:val="0"/>
          <w:bCs w:val="0"/>
          <w:i/>
          <w:lang w:val="en-US"/>
        </w:rPr>
        <w:t xml:space="preserve">U</w:t>
      </w:r>
      <w:r>
        <w:rPr>
          <w:b w:val="0"/>
          <w:bCs w:val="0"/>
          <w:i/>
          <w:vertAlign w:val="subscript"/>
        </w:rPr>
        <w:t xml:space="preserve">2</w:t>
      </w:r>
      <w:r>
        <w:rPr>
          <w:b w:val="0"/>
          <w:bCs w:val="0"/>
          <w:i/>
        </w:rPr>
        <w:t xml:space="preserve">)</w:t>
      </w:r>
      <w:bookmarkEnd w:id="111"/>
      <w:bookmarkEnd w:id="112"/>
      <w:bookmarkEnd w:id="113"/>
      <w:bookmarkEnd w:id="114"/>
      <w:bookmarkEnd w:id="115"/>
    </w:p>
    <w:p>
      <w:pPr>
        <w:jc w:val="both"/>
      </w:pPr>
      <w:r>
        <w:t xml:space="preserve">                        </w:t>
      </w:r>
      <w:r>
        <w:rPr>
          <w:position w:val="-14"/>
        </w:rPr>
        <w:object w:dxaOrig="214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106.55pt;height:19.55pt;mso-wrap-distance-left:0.00pt;mso-wrap-distance-top:0.00pt;mso-wrap-distance-right:0.00pt;mso-wrap-distance-bottom:0.00pt;" filled="f" stroked="f">
            <v:path textboxrect="0,0,0,0"/>
            <v:imagedata r:id="rId73" o:title=""/>
          </v:shape>
          <o:OLEObject DrawAspect="Content" r:id="rId74" ObjectID="_15250429" ProgID="Equation.3" ShapeID="_x0000_i29" Type="Embed"/>
        </w:object>
      </w:r>
      <w:r>
        <w:t xml:space="preserve">, (руб.), где:</w:t>
      </w:r>
    </w:p>
    <w:p>
      <w:pPr>
        <w:numPr>
          <w:numId w:val="6"/>
          <w:ilvl w:val="0"/>
        </w:numPr>
        <w:ind w:left="1080" w:hanging="730"/>
      </w:pPr>
      <w:r>
        <w:rPr>
          <w:position w:val="-12"/>
        </w:rPr>
        <w:object w:dxaOrig="3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19.55pt;height:19.55pt;mso-wrap-distance-left:0.00pt;mso-wrap-distance-top:0.00pt;mso-wrap-distance-right:0.00pt;mso-wrap-distance-bottom:0.00pt;" filled="f" stroked="f">
            <v:path textboxrect="0,0,0,0"/>
            <v:imagedata r:id="rId75" o:title=""/>
          </v:shape>
          <o:OLEObject DrawAspect="Content" r:id="rId76" ObjectID="_15250430" ProgID="Equation.3" ShapeID="_x0000_i30" Type="Embed"/>
        </w:object>
      </w:r>
      <w:r>
        <w:t xml:space="preserve"> - остаточная балансовая стоимость i-</w:t>
      </w:r>
      <w:r>
        <w:t xml:space="preserve">гo</w:t>
      </w:r>
      <w:r>
        <w:t xml:space="preserve">, не подлежащего восстановлению оборудования или сооружения;</w:t>
      </w:r>
    </w:p>
    <w:p>
      <w:pPr>
        <w:numPr>
          <w:numId w:val="6"/>
          <w:ilvl w:val="0"/>
        </w:numPr>
        <w:ind w:left="1080" w:hanging="730"/>
      </w:pPr>
      <w:r>
        <w:rPr>
          <w:position w:val="-12"/>
        </w:rPr>
        <w:object w:dxaOrig="3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19.55pt;height:19.55pt;mso-wrap-distance-left:0.00pt;mso-wrap-distance-top:0.00pt;mso-wrap-distance-right:0.00pt;mso-wrap-distance-bottom:0.00pt;" filled="f" stroked="f">
            <v:path textboxrect="0,0,0,0"/>
            <v:imagedata r:id="rId77" o:title=""/>
          </v:shape>
          <o:OLEObject DrawAspect="Content" r:id="rId78" ObjectID="_15250431" ProgID="Equation.3" ShapeID="_x0000_i31" Type="Embed"/>
        </w:object>
      </w:r>
      <w:r>
        <w:t xml:space="preserve"> - стоимость возвратного материала (определяется по рыночной цене);</w:t>
      </w:r>
    </w:p>
    <w:p>
      <w:pPr>
        <w:numPr>
          <w:numId w:val="6"/>
          <w:ilvl w:val="0"/>
        </w:numPr>
        <w:ind w:left="1080" w:hanging="730"/>
        <w:rPr>
          <w:sz w:val="20"/>
          <w:szCs w:val="20"/>
        </w:rPr>
      </w:pPr>
      <w:r>
        <w:rPr>
          <w:position w:val="-12"/>
        </w:rPr>
        <w:object w:dxaOrig="27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10.80pt;height:19.55pt;mso-wrap-distance-left:0.00pt;mso-wrap-distance-top:0.00pt;mso-wrap-distance-right:0.00pt;mso-wrap-distance-bottom:0.00pt;" filled="f" stroked="f">
            <v:path textboxrect="0,0,0,0"/>
            <v:imagedata r:id="rId79" o:title=""/>
          </v:shape>
          <o:OLEObject DrawAspect="Content" r:id="rId80" ObjectID="_15250432" ProgID="Equation.3" ShapeID="_x0000_i32" Type="Embed"/>
        </w:object>
      </w:r>
      <w:r>
        <w:t xml:space="preserve"> - прочие потери, включая затраты на ликвидацию и локализацию технологического нарушения, тушение пожара, проведение спасательных работ и т.п.</w:t>
      </w:r>
    </w:p>
    <w:p>
      <w:pPr>
        <w:pStyle w:val="1"/>
        <w:numPr>
          <w:numId w:val="13"/>
          <w:ilvl w:val="1"/>
        </w:numPr>
        <w:spacing w:before="120"/>
        <w:rPr>
          <w:bCs w:val="0"/>
        </w:rPr>
      </w:pPr>
      <w:bookmarkStart w:id="116" w:name="_Toc309304219"/>
      <w:bookmarkStart w:id="117" w:name="_Toc488848708"/>
      <w:bookmarkStart w:id="118" w:name="_Toc490640162"/>
      <w:bookmarkStart w:id="119" w:name="_Toc490640191"/>
      <w:bookmarkStart w:id="120" w:name="_Toc10707078"/>
      <w:r>
        <w:rPr>
          <w:bCs w:val="0"/>
        </w:rPr>
        <w:t xml:space="preserve">Потери от ухудшения технологических параметров </w:t>
      </w:r>
      <w:r>
        <w:rPr>
          <w:b w:val="0"/>
          <w:bCs w:val="0"/>
          <w:i/>
        </w:rPr>
        <w:t xml:space="preserve">(</w:t>
      </w:r>
      <w:r>
        <w:rPr>
          <w:b w:val="0"/>
          <w:bCs w:val="0"/>
          <w:i/>
          <w:lang w:val="en-US"/>
        </w:rPr>
        <w:t xml:space="preserve">U</w:t>
      </w:r>
      <w:r>
        <w:rPr>
          <w:b w:val="0"/>
          <w:bCs w:val="0"/>
          <w:i/>
          <w:vertAlign w:val="subscript"/>
        </w:rPr>
        <w:t xml:space="preserve">3</w:t>
      </w:r>
      <w:r>
        <w:rPr>
          <w:b w:val="0"/>
          <w:bCs w:val="0"/>
          <w:i/>
        </w:rPr>
        <w:t xml:space="preserve">)</w:t>
      </w:r>
      <w:bookmarkEnd w:id="116"/>
      <w:bookmarkEnd w:id="117"/>
      <w:bookmarkEnd w:id="118"/>
      <w:bookmarkEnd w:id="119"/>
      <w:bookmarkEnd w:id="120"/>
    </w:p>
    <w:p>
      <w:pPr>
        <w:spacing w:after="120"/>
        <w:jc w:val="both"/>
      </w:pPr>
      <w:r>
        <w:t xml:space="preserve">Возникают при необходимости ввода из резерва взамен выбывшей мощности генерирующей мощности с худшими технологическими параметрами (увеличение топливной составляющей в себестоимости выработки тепло- и электроэнергии (изменение структуры топлива, ухудшение УРУТ), экологические платежи и др.) за исключением пусковых затрат».</w:t>
      </w:r>
    </w:p>
    <w:p>
      <w:pPr>
        <w:ind w:left="-567" w:right="-171" w:firstLine="425"/>
        <w:jc w:val="both"/>
      </w:pPr>
      <w:r>
        <w:t xml:space="preserve">           </w:t>
      </w:r>
      <w:r>
        <w:rPr>
          <w:position w:val="-12"/>
        </w:rPr>
        <w:object w:dxaOrig="56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263.05pt;height:15.80pt;mso-wrap-distance-left:0.00pt;mso-wrap-distance-top:0.00pt;mso-wrap-distance-right:0.00pt;mso-wrap-distance-bottom:0.00pt;" filled="f" stroked="f">
            <v:path textboxrect="0,0,0,0"/>
            <v:imagedata r:id="rId81" o:title=""/>
          </v:shape>
          <o:OLEObject DrawAspect="Content" r:id="rId82" ObjectID="_15250433" ProgID="Equation.3" ShapeID="_x0000_i33" Type="Embed"/>
        </w:object>
      </w:r>
      <w:r>
        <w:t xml:space="preserve">, (руб.), где:</w:t>
      </w:r>
    </w:p>
    <w:p>
      <w:pPr>
        <w:numPr>
          <w:numId w:val="7"/>
          <w:ilvl w:val="0"/>
        </w:numPr>
        <w:tabs>
          <w:tab w:val="num" w:pos="540"/>
        </w:tabs>
        <w:spacing w:before="120"/>
        <w:ind w:left="1080" w:hanging="570"/>
        <w:jc w:val="both"/>
      </w:pPr>
      <w:r>
        <w:rPr>
          <w:position w:val="-12"/>
        </w:rPr>
        <w:object w:dxaOrig="4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24.55pt;height:15.80pt;mso-wrap-distance-left:0.00pt;mso-wrap-distance-top:0.00pt;mso-wrap-distance-right:0.00pt;mso-wrap-distance-bottom:0.00pt;" filled="f" stroked="f">
            <v:path textboxrect="0,0,0,0"/>
            <v:imagedata r:id="rId83" o:title=""/>
          </v:shape>
          <o:OLEObject DrawAspect="Content" r:id="rId84" ObjectID="_15250434" ProgID="Equation.3" ShapeID="_x0000_i34" Type="Embed"/>
        </w:object>
      </w:r>
      <w:r>
        <w:t xml:space="preserve"> - фактический отпуск электроэнергии замещающего оборудования до включения в сеть выведенного </w:t>
      </w:r>
      <w:r>
        <w:t xml:space="preserve">аварийно</w:t>
      </w:r>
      <w:r>
        <w:t xml:space="preserve"> в ремонт энергоблока, (кВт</w:t>
      </w:r>
      <w:r>
        <w:rPr>
          <w:rtl/>
        </w:rPr>
        <w:t xml:space="preserve">۰</w:t>
      </w:r>
      <w:r>
        <w:t xml:space="preserve">ч);</w:t>
      </w:r>
    </w:p>
    <w:p>
      <w:pPr>
        <w:numPr>
          <w:numId w:val="7"/>
          <w:ilvl w:val="0"/>
        </w:numPr>
        <w:tabs>
          <w:tab w:val="num" w:pos="540"/>
        </w:tabs>
        <w:spacing w:before="60"/>
        <w:ind w:left="1080" w:hanging="570"/>
        <w:jc w:val="both"/>
      </w:pPr>
      <w:r>
        <w:rPr>
          <w:position w:val="-12"/>
        </w:rPr>
        <w:object w:dxaOrig="5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24.55pt;height:15.80pt;mso-wrap-distance-left:0.00pt;mso-wrap-distance-top:0.00pt;mso-wrap-distance-right:0.00pt;mso-wrap-distance-bottom:0.00pt;" filled="f" stroked="f">
            <v:path textboxrect="0,0,0,0"/>
            <v:imagedata r:id="rId85" o:title=""/>
          </v:shape>
          <o:OLEObject DrawAspect="Content" r:id="rId86" ObjectID="_15250435" ProgID="Equation.3" ShapeID="_x0000_i35" Type="Embed"/>
        </w:object>
      </w:r>
      <w:r>
        <w:t xml:space="preserve"> - фактический отпуск теплоэнергии замещающего оборудования до включения в сеть выведенного </w:t>
      </w:r>
      <w:r>
        <w:t xml:space="preserve">аварийно</w:t>
      </w:r>
      <w:r>
        <w:t xml:space="preserve"> в ремонт оборудования, (Гкал);</w:t>
      </w:r>
    </w:p>
    <w:p>
      <w:pPr>
        <w:numPr>
          <w:numId w:val="7"/>
          <w:ilvl w:val="0"/>
        </w:numPr>
        <w:tabs>
          <w:tab w:val="num" w:pos="540"/>
        </w:tabs>
        <w:spacing w:before="60"/>
        <w:ind w:left="1080" w:hanging="570"/>
        <w:jc w:val="both"/>
      </w:pPr>
      <w:r>
        <w:rPr>
          <w:position w:val="-10"/>
        </w:rPr>
        <w:object w:dxaOrig="26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10.80pt;height:14.15pt;mso-wrap-distance-left:0.00pt;mso-wrap-distance-top:0.00pt;mso-wrap-distance-right:0.00pt;mso-wrap-distance-bottom:0.00pt;" filled="f" stroked="f">
            <v:path textboxrect="0,0,0,0"/>
            <v:imagedata r:id="rId87" o:title=""/>
          </v:shape>
          <o:OLEObject DrawAspect="Content" r:id="rId88" ObjectID="_15250436" ProgID="Equation.3" ShapeID="_x0000_i36" Type="Embed"/>
        </w:object>
      </w:r>
      <w:r>
        <w:t xml:space="preserve"> - удельный расход топлива на выработку электроэнергии при работе оборудования до технологического нарушения при прогнозируемой нагрузке, (</w:t>
      </w:r>
      <w:r>
        <w:t xml:space="preserve">т.у.т</w:t>
      </w:r>
      <w:r>
        <w:t xml:space="preserve">./кВт</w:t>
      </w:r>
      <w:r>
        <w:rPr>
          <w:rtl/>
        </w:rPr>
        <w:t xml:space="preserve">۰</w:t>
      </w:r>
      <w:r>
        <w:t xml:space="preserve">ч);</w:t>
      </w:r>
    </w:p>
    <w:p>
      <w:pPr>
        <w:numPr>
          <w:numId w:val="7"/>
          <w:ilvl w:val="0"/>
        </w:numPr>
        <w:tabs>
          <w:tab w:val="num" w:pos="540"/>
        </w:tabs>
        <w:spacing w:before="60"/>
        <w:ind w:left="1080" w:hanging="570"/>
        <w:jc w:val="both"/>
      </w:pPr>
      <w:r>
        <w:rPr>
          <w:position w:val="-10"/>
        </w:rPr>
        <w:object w:dxaOrig="3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width:19.55pt;height:14.15pt;mso-wrap-distance-left:0.00pt;mso-wrap-distance-top:0.00pt;mso-wrap-distance-right:0.00pt;mso-wrap-distance-bottom:0.00pt;" filled="f" stroked="f">
            <v:path textboxrect="0,0,0,0"/>
            <v:imagedata r:id="rId89" o:title=""/>
          </v:shape>
          <o:OLEObject DrawAspect="Content" r:id="rId90" ObjectID="_15250437" ProgID="Equation.3" ShapeID="_x0000_i37" Type="Embed"/>
        </w:object>
      </w:r>
      <w:r>
        <w:t xml:space="preserve"> - удельный расход топлива на выработку электроэнергии после технологического нарушения на замещающем оборудовании, (</w:t>
      </w:r>
      <w:r>
        <w:t xml:space="preserve">т.у.т</w:t>
      </w:r>
      <w:r>
        <w:t xml:space="preserve">/кВт</w:t>
      </w:r>
      <w:r>
        <w:rPr>
          <w:rtl/>
        </w:rPr>
        <w:t xml:space="preserve">۰</w:t>
      </w:r>
      <w:r>
        <w:t xml:space="preserve">ч);</w:t>
      </w:r>
    </w:p>
    <w:p>
      <w:pPr>
        <w:numPr>
          <w:numId w:val="7"/>
          <w:ilvl w:val="0"/>
        </w:numPr>
        <w:tabs>
          <w:tab w:val="num" w:pos="540"/>
        </w:tabs>
        <w:spacing w:before="60"/>
        <w:ind w:left="1080" w:hanging="570"/>
        <w:jc w:val="both"/>
      </w:pPr>
      <w:r>
        <w:rPr>
          <w:position w:val="-10"/>
        </w:rPr>
        <w:object w:dxaOrig="3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width:19.55pt;height:14.15pt;mso-wrap-distance-left:0.00pt;mso-wrap-distance-top:0.00pt;mso-wrap-distance-right:0.00pt;mso-wrap-distance-bottom:0.00pt;" filled="f" stroked="f">
            <v:path textboxrect="0,0,0,0"/>
            <v:imagedata r:id="rId91" o:title=""/>
          </v:shape>
          <o:OLEObject DrawAspect="Content" r:id="rId92" ObjectID="_15250438" ProgID="Equation.3" ShapeID="_x0000_i38" Type="Embed"/>
        </w:object>
      </w:r>
      <w:r>
        <w:t xml:space="preserve"> - удельный расход топлива на выработку теплоэнергии при работе оборудования до технологического нарушения, (</w:t>
      </w:r>
      <w:r>
        <w:t xml:space="preserve">т.у.т</w:t>
      </w:r>
      <w:r>
        <w:t xml:space="preserve">./Гкал);</w:t>
      </w:r>
    </w:p>
    <w:p>
      <w:pPr>
        <w:numPr>
          <w:numId w:val="7"/>
          <w:ilvl w:val="0"/>
        </w:numPr>
        <w:tabs>
          <w:tab w:val="num" w:pos="540"/>
        </w:tabs>
        <w:spacing w:before="60"/>
        <w:ind w:left="1080" w:hanging="570"/>
        <w:jc w:val="both"/>
      </w:pPr>
      <w:r>
        <w:rPr>
          <w:position w:val="-10"/>
        </w:rPr>
        <w:object w:dxaOrig="3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width:19.55pt;height:14.15pt;mso-wrap-distance-left:0.00pt;mso-wrap-distance-top:0.00pt;mso-wrap-distance-right:0.00pt;mso-wrap-distance-bottom:0.00pt;" filled="f" stroked="f">
            <v:path textboxrect="0,0,0,0"/>
            <v:imagedata r:id="rId93" o:title=""/>
          </v:shape>
          <o:OLEObject DrawAspect="Content" r:id="rId94" ObjectID="_15250439" ProgID="Equation.3" ShapeID="_x0000_i39" Type="Embed"/>
        </w:object>
      </w:r>
      <w:r>
        <w:t xml:space="preserve"> - удельный расход топлива на выработку теплоэнергии после технологического нарушения, на замещающем оборудовании, (</w:t>
      </w:r>
      <w:r>
        <w:t xml:space="preserve">т.у.т</w:t>
      </w:r>
      <w:r>
        <w:t xml:space="preserve">/Гкал);</w:t>
      </w:r>
    </w:p>
    <w:p>
      <w:pPr>
        <w:numPr>
          <w:numId w:val="7"/>
          <w:ilvl w:val="0"/>
        </w:numPr>
        <w:tabs>
          <w:tab w:val="num" w:pos="540"/>
        </w:tabs>
        <w:spacing w:before="60"/>
        <w:ind w:left="1080" w:hanging="570"/>
        <w:jc w:val="both"/>
      </w:pPr>
      <w:r>
        <w:rPr>
          <w:position w:val="-12"/>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0" o:spid="_x0000_s40" type="#_x0000_t75" style="width:24.55pt;height:19.55pt;mso-wrap-distance-left:0.00pt;mso-wrap-distance-top:0.00pt;mso-wrap-distance-right:0.00pt;mso-wrap-distance-bottom:0.00pt;" filled="f" stroked="f">
            <v:path textboxrect="0,0,0,0"/>
            <v:imagedata r:id="rId95" o:title=""/>
          </v:shape>
          <o:OLEObject DrawAspect="Content" r:id="rId96" ObjectID="_15250440" ProgID="Equation.3" ShapeID="_x0000_i40" Type="Embed"/>
        </w:object>
      </w:r>
      <w:r>
        <w:t xml:space="preserve"> - цена условного топлива, (руб./</w:t>
      </w:r>
      <w:r>
        <w:t xml:space="preserve">т.у.т</w:t>
      </w:r>
      <w:r>
        <w:t xml:space="preserve">.).</w:t>
      </w:r>
    </w:p>
    <w:p>
      <w:pPr>
        <w:tabs>
          <w:tab w:val="num" w:pos="540"/>
        </w:tabs>
        <w:spacing w:before="240"/>
      </w:pPr>
      <w:r>
        <w:t xml:space="preserve">В случае, если отключившееся оборудование не замещается вводом в работу другого оборудования, а технологические параметры оставшегося в работе оборудования ухудшаются - составляющая ущерба </w:t>
      </w:r>
      <w:r>
        <w:rPr>
          <w:position w:val="-6"/>
        </w:rPr>
        <w:object w:dxaOrig="24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1" o:spid="_x0000_s41" type="#_x0000_t75" style="width:10.80pt;height:10.80pt;mso-wrap-distance-left:0.00pt;mso-wrap-distance-top:0.00pt;mso-wrap-distance-right:0.00pt;mso-wrap-distance-bottom:0.00pt;" filled="f" stroked="f">
            <v:path textboxrect="0,0,0,0"/>
            <v:imagedata r:id="rId97" o:title=""/>
          </v:shape>
          <o:OLEObject DrawAspect="Content" r:id="rId98" ObjectID="_15250441" ProgID="Equation.3" ShapeID="_x0000_i41" Type="Embed"/>
        </w:object>
      </w:r>
      <w:r>
        <w:t xml:space="preserve"> оценивается по следующей формуле (в противном случае </w:t>
      </w:r>
      <w:r>
        <w:rPr>
          <w:position w:val="-6"/>
        </w:rPr>
        <w:object w:dxaOrig="62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2" o:spid="_x0000_s42" type="#_x0000_t75" style="width:33.70pt;height:10.80pt;mso-wrap-distance-left:0.00pt;mso-wrap-distance-top:0.00pt;mso-wrap-distance-right:0.00pt;mso-wrap-distance-bottom:0.00pt;" filled="f" stroked="f">
            <v:path textboxrect="0,0,0,0"/>
            <v:imagedata r:id="rId99" o:title=""/>
          </v:shape>
          <o:OLEObject DrawAspect="Content" r:id="rId100" ObjectID="_15250442" ProgID="Equation.3" ShapeID="_x0000_i42" Type="Embed"/>
        </w:object>
      </w:r>
      <w:r>
        <w:t xml:space="preserve">):</w:t>
      </w:r>
    </w:p>
    <w:p>
      <w:pPr>
        <w:tabs>
          <w:tab w:val="num" w:pos="540"/>
        </w:tabs>
        <w:jc w:val="center"/>
      </w:pPr>
      <w:r>
        <w:rPr>
          <w:position w:val="-30"/>
        </w:rPr>
        <w:object w:dxaOrig="6460" w:dyaOrig="7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3" o:spid="_x0000_s43" type="#_x0000_t75" style="width:368.75pt;height:37.45pt;mso-wrap-distance-left:0.00pt;mso-wrap-distance-top:0.00pt;mso-wrap-distance-right:0.00pt;mso-wrap-distance-bottom:0.00pt;" filled="f" stroked="f">
            <v:path textboxrect="0,0,0,0"/>
            <v:imagedata r:id="rId101" o:title=""/>
          </v:shape>
          <o:OLEObject DrawAspect="Content" r:id="rId102" ObjectID="_15250443" ProgID="Equation.3" ShapeID="_x0000_i43" Type="Embed"/>
        </w:object>
      </w:r>
      <w:r>
        <w:t xml:space="preserve">(руб.), где:</w:t>
      </w:r>
    </w:p>
    <w:p>
      <w:pPr>
        <w:numPr>
          <w:numId w:val="7"/>
          <w:ilvl w:val="0"/>
        </w:numPr>
        <w:tabs>
          <w:tab w:val="num" w:pos="540"/>
        </w:tabs>
        <w:ind w:left="1080" w:hanging="570"/>
        <w:jc w:val="both"/>
      </w:pPr>
      <w:r>
        <w:rPr>
          <w:position w:val="-12"/>
        </w:rPr>
        <w:object w:dxaOrig="6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4" o:spid="_x0000_s44" type="#_x0000_t75" style="width:34.55pt;height:15.80pt;mso-wrap-distance-left:0.00pt;mso-wrap-distance-top:0.00pt;mso-wrap-distance-right:0.00pt;mso-wrap-distance-bottom:0.00pt;" filled="f" stroked="f">
            <v:path textboxrect="0,0,0,0"/>
            <v:imagedata r:id="rId103" o:title=""/>
          </v:shape>
          <o:OLEObject DrawAspect="Content" r:id="rId104" ObjectID="_15250444" ProgID="Equation.3" ShapeID="_x0000_i44" Type="Embed"/>
        </w:object>
      </w:r>
      <w:r>
        <w:t xml:space="preserve"> - фактический отпуск электроэнергии оставшегося в работе оборудования до включения в сеть выведенного </w:t>
      </w:r>
      <w:r>
        <w:t xml:space="preserve">аварийно</w:t>
      </w:r>
      <w:r>
        <w:t xml:space="preserve"> в ремонт энергооборудования, (кВт</w:t>
      </w:r>
      <w:r>
        <w:rPr>
          <w:rtl/>
        </w:rPr>
        <w:t xml:space="preserve">۰</w:t>
      </w:r>
      <w:r>
        <w:t xml:space="preserve">ч);</w:t>
      </w:r>
    </w:p>
    <w:p>
      <w:pPr>
        <w:numPr>
          <w:numId w:val="7"/>
          <w:ilvl w:val="0"/>
        </w:numPr>
        <w:tabs>
          <w:tab w:val="num" w:pos="540"/>
        </w:tabs>
        <w:ind w:left="1080" w:hanging="570"/>
        <w:jc w:val="both"/>
      </w:pPr>
      <w:r>
        <w:rPr>
          <w:position w:val="-12"/>
        </w:rPr>
        <w:object w:dxaOrig="7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5" o:spid="_x0000_s45" type="#_x0000_t75" style="width:34.55pt;height:15.80pt;mso-wrap-distance-left:0.00pt;mso-wrap-distance-top:0.00pt;mso-wrap-distance-right:0.00pt;mso-wrap-distance-bottom:0.00pt;" filled="f" stroked="f">
            <v:path textboxrect="0,0,0,0"/>
            <v:imagedata r:id="rId105" o:title=""/>
          </v:shape>
          <o:OLEObject DrawAspect="Content" r:id="rId106" ObjectID="_15250445" ProgID="Equation.3" ShapeID="_x0000_i45" Type="Embed"/>
        </w:object>
      </w:r>
      <w:r>
        <w:t xml:space="preserve"> - фактический отпуск теплоэнергии оставшегося оборудования до включения аварийно- выведенного в ремонт энергооборудования, (Гкал);</w:t>
      </w:r>
    </w:p>
    <w:p>
      <w:pPr>
        <w:numPr>
          <w:numId w:val="7"/>
          <w:ilvl w:val="0"/>
        </w:numPr>
        <w:tabs>
          <w:tab w:val="num" w:pos="540"/>
        </w:tabs>
        <w:ind w:left="1080" w:hanging="570"/>
        <w:jc w:val="both"/>
      </w:pPr>
      <w:r>
        <w:rPr>
          <w:position w:val="-10"/>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6" o:spid="_x0000_s46" type="#_x0000_t75" style="width:14.15pt;height:19.55pt;mso-wrap-distance-left:0.00pt;mso-wrap-distance-top:0.00pt;mso-wrap-distance-right:0.00pt;mso-wrap-distance-bottom:0.00pt;" filled="f" stroked="f">
            <v:path textboxrect="0,0,0,0"/>
            <v:imagedata r:id="rId107" o:title=""/>
          </v:shape>
          <o:OLEObject DrawAspect="Content" r:id="rId108" ObjectID="_15250446" ProgID="Equation.3" ShapeID="_x0000_i46" Type="Embed"/>
        </w:object>
      </w:r>
      <w:r>
        <w:t xml:space="preserve"> - удельный расход топлива на выработку электроэнергии оставшегося в работе оборудования до технологического нарушения при прогнозируемой нагрузке, (</w:t>
      </w:r>
      <w:r>
        <w:t xml:space="preserve">т.у.т</w:t>
      </w:r>
      <w:r>
        <w:t xml:space="preserve">./кВт</w:t>
      </w:r>
      <w:r>
        <w:rPr>
          <w:rtl/>
        </w:rPr>
        <w:t xml:space="preserve">۰</w:t>
      </w:r>
      <w:r>
        <w:t xml:space="preserve">ч);</w:t>
      </w:r>
    </w:p>
    <w:p>
      <w:pPr>
        <w:numPr>
          <w:numId w:val="7"/>
          <w:ilvl w:val="0"/>
        </w:numPr>
        <w:tabs>
          <w:tab w:val="num" w:pos="540"/>
        </w:tabs>
        <w:ind w:left="1080" w:hanging="570"/>
        <w:jc w:val="both"/>
      </w:pPr>
      <w:r>
        <w:rPr>
          <w:position w:val="-10"/>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7" o:spid="_x0000_s47" type="#_x0000_t75" style="width:14.15pt;height:19.55pt;mso-wrap-distance-left:0.00pt;mso-wrap-distance-top:0.00pt;mso-wrap-distance-right:0.00pt;mso-wrap-distance-bottom:0.00pt;" filled="f" stroked="f">
            <v:path textboxrect="0,0,0,0"/>
            <v:imagedata r:id="rId109" o:title=""/>
          </v:shape>
          <o:OLEObject DrawAspect="Content" r:id="rId110" ObjectID="_15250447" ProgID="Equation.3" ShapeID="_x0000_i47" Type="Embed"/>
        </w:object>
      </w:r>
      <w:r>
        <w:t xml:space="preserve"> - удельный расход топлива на выработку электроэнергии после технологического нарушения на оставшемся в работе оборудования, (</w:t>
      </w:r>
      <w:r>
        <w:t xml:space="preserve">т.у.т</w:t>
      </w:r>
      <w:r>
        <w:t xml:space="preserve">/кВт</w:t>
      </w:r>
      <w:r>
        <w:rPr>
          <w:rtl/>
        </w:rPr>
        <w:t xml:space="preserve">۰</w:t>
      </w:r>
      <w:r>
        <w:t xml:space="preserve">ч);</w:t>
      </w:r>
    </w:p>
    <w:p>
      <w:pPr>
        <w:numPr>
          <w:numId w:val="7"/>
          <w:ilvl w:val="0"/>
        </w:numPr>
        <w:tabs>
          <w:tab w:val="num" w:pos="540"/>
        </w:tabs>
        <w:ind w:left="1080" w:hanging="570"/>
        <w:jc w:val="both"/>
      </w:pPr>
      <w:r>
        <w:rPr>
          <w:position w:val="-10"/>
        </w:rPr>
        <w:object w:dxaOrig="3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8" o:spid="_x0000_s48" type="#_x0000_t75" style="width:19.55pt;height:19.55pt;mso-wrap-distance-left:0.00pt;mso-wrap-distance-top:0.00pt;mso-wrap-distance-right:0.00pt;mso-wrap-distance-bottom:0.00pt;" filled="f" stroked="f">
            <v:path textboxrect="0,0,0,0"/>
            <v:imagedata r:id="rId111" o:title=""/>
          </v:shape>
          <o:OLEObject DrawAspect="Content" r:id="rId112" ObjectID="_15250448" ProgID="Equation.3" ShapeID="_x0000_i48" Type="Embed"/>
        </w:object>
      </w:r>
      <w:r>
        <w:t xml:space="preserve"> - удельный расход топлива на выработку теплоэнергии оставшегося в работе оборудования до технологического нарушения, (</w:t>
      </w:r>
      <w:r>
        <w:t xml:space="preserve">т.у.т</w:t>
      </w:r>
      <w:r>
        <w:t xml:space="preserve">./Гкал);</w:t>
      </w:r>
    </w:p>
    <w:p>
      <w:pPr>
        <w:numPr>
          <w:numId w:val="7"/>
          <w:ilvl w:val="0"/>
        </w:numPr>
        <w:tabs>
          <w:tab w:val="num" w:pos="540"/>
        </w:tabs>
        <w:ind w:left="1080" w:hanging="570"/>
        <w:jc w:val="both"/>
      </w:pPr>
      <w:r>
        <w:rPr>
          <w:position w:val="-12"/>
        </w:rPr>
        <w:object w:dxaOrig="44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9" o:spid="_x0000_s49" type="#_x0000_t75" style="width:21.65pt;height:19.55pt;mso-wrap-distance-left:0.00pt;mso-wrap-distance-top:0.00pt;mso-wrap-distance-right:0.00pt;mso-wrap-distance-bottom:0.00pt;" filled="f" stroked="f">
            <v:path textboxrect="0,0,0,0"/>
            <v:imagedata r:id="rId113" o:title=""/>
          </v:shape>
          <o:OLEObject DrawAspect="Content" r:id="rId114" ObjectID="_15250449" ProgID="Equation.3" ShapeID="_x0000_i49" Type="Embed"/>
        </w:object>
      </w:r>
      <w:r>
        <w:t xml:space="preserve"> - удельный расход топлива на выработку теплоэнергии после технологического нарушения на оставшемся в работе оборудования, (</w:t>
      </w:r>
      <w:r>
        <w:t xml:space="preserve">т.у.т</w:t>
      </w:r>
      <w:r>
        <w:t xml:space="preserve">/Гкал);</w:t>
      </w:r>
    </w:p>
    <w:p>
      <w:pPr>
        <w:numPr>
          <w:numId w:val="7"/>
          <w:ilvl w:val="0"/>
        </w:numPr>
        <w:tabs>
          <w:tab w:val="num" w:pos="540"/>
        </w:tabs>
        <w:ind w:left="1080" w:hanging="570"/>
        <w:jc w:val="both"/>
      </w:pPr>
      <w:r>
        <w:rPr>
          <w:position w:val="-12"/>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0" o:spid="_x0000_s50" type="#_x0000_t75" style="width:24.55pt;height:19.55pt;mso-wrap-distance-left:0.00pt;mso-wrap-distance-top:0.00pt;mso-wrap-distance-right:0.00pt;mso-wrap-distance-bottom:0.00pt;" filled="f" stroked="f">
            <v:path textboxrect="0,0,0,0"/>
            <v:imagedata r:id="rId115" o:title=""/>
          </v:shape>
          <o:OLEObject DrawAspect="Content" r:id="rId116" ObjectID="_15250450" ProgID="Equation.3" ShapeID="_x0000_i50" Type="Embed"/>
        </w:object>
      </w:r>
      <w:r>
        <w:t xml:space="preserve"> - цена условного топлива, (руб./</w:t>
      </w:r>
      <w:r>
        <w:t xml:space="preserve">т.у.т</w:t>
      </w:r>
      <w:r>
        <w:t xml:space="preserve">.);</w:t>
      </w:r>
    </w:p>
    <w:p>
      <w:pPr>
        <w:numPr>
          <w:numId w:val="7"/>
          <w:ilvl w:val="0"/>
        </w:numPr>
        <w:tabs>
          <w:tab w:val="num" w:pos="540"/>
        </w:tabs>
        <w:ind w:left="1080" w:hanging="570"/>
        <w:jc w:val="both"/>
      </w:pPr>
      <w:r>
        <w:rPr>
          <w:position w:val="-6"/>
        </w:rPr>
        <w:object w:dxaOrig="20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1" o:spid="_x0000_s51" type="#_x0000_t75" style="width:10.80pt;height:10.40pt;mso-wrap-distance-left:0.00pt;mso-wrap-distance-top:0.00pt;mso-wrap-distance-right:0.00pt;mso-wrap-distance-bottom:0.00pt;" filled="f" stroked="f">
            <v:path textboxrect="0,0,0,0"/>
            <v:imagedata r:id="rId117" o:title=""/>
          </v:shape>
          <o:OLEObject DrawAspect="Content" r:id="rId118" ObjectID="_15250451" ProgID="Equation.3" ShapeID="_x0000_i51" Type="Embed"/>
        </w:object>
      </w:r>
      <w:r>
        <w:t xml:space="preserve"> - количество оставшегося в работе оборудования.</w:t>
      </w:r>
    </w:p>
    <w:p>
      <w:pPr>
        <w:pStyle w:val="1"/>
        <w:numPr>
          <w:numId w:val="13"/>
          <w:ilvl w:val="1"/>
        </w:numPr>
        <w:spacing w:before="120" w:after="120"/>
        <w:rPr>
          <w:bCs w:val="0"/>
        </w:rPr>
      </w:pPr>
      <w:bookmarkStart w:id="121" w:name="_Toc309304220"/>
      <w:bookmarkStart w:id="122" w:name="_Toc488848709"/>
      <w:bookmarkStart w:id="123" w:name="_Toc490640163"/>
      <w:bookmarkStart w:id="124" w:name="_Toc490640192"/>
      <w:bookmarkStart w:id="125" w:name="_Toc10707079"/>
      <w:r>
        <w:rPr>
          <w:bCs w:val="0"/>
        </w:rPr>
        <w:t xml:space="preserve">Пусковые затраты </w:t>
      </w:r>
      <w:r>
        <w:rPr>
          <w:b w:val="0"/>
          <w:bCs w:val="0"/>
          <w:i/>
        </w:rPr>
        <w:t xml:space="preserve">(</w:t>
      </w:r>
      <w:r>
        <w:rPr>
          <w:b w:val="0"/>
          <w:bCs w:val="0"/>
          <w:i/>
          <w:lang w:val="en-US"/>
        </w:rPr>
        <w:t xml:space="preserve">U</w:t>
      </w:r>
      <w:r>
        <w:rPr>
          <w:b w:val="0"/>
          <w:bCs w:val="0"/>
          <w:i/>
          <w:vertAlign w:val="subscript"/>
        </w:rPr>
        <w:t xml:space="preserve">4</w:t>
      </w:r>
      <w:r>
        <w:rPr>
          <w:b w:val="0"/>
          <w:bCs w:val="0"/>
          <w:i/>
        </w:rPr>
        <w:t xml:space="preserve">)</w:t>
      </w:r>
      <w:bookmarkEnd w:id="121"/>
      <w:bookmarkEnd w:id="122"/>
      <w:bookmarkEnd w:id="123"/>
      <w:bookmarkEnd w:id="124"/>
      <w:bookmarkEnd w:id="125"/>
    </w:p>
    <w:p>
      <w:pPr>
        <w:jc w:val="both"/>
      </w:pPr>
      <w:r>
        <w:t xml:space="preserve">            </w:t>
      </w:r>
      <w:r>
        <w:rPr>
          <w:position w:val="-12"/>
        </w:rPr>
        <w:object w:dxaOrig="51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2" o:spid="_x0000_s52" type="#_x0000_t75" style="width:253.45pt;height:19.55pt;mso-wrap-distance-left:0.00pt;mso-wrap-distance-top:0.00pt;mso-wrap-distance-right:0.00pt;mso-wrap-distance-bottom:0.00pt;" filled="f" stroked="f">
            <v:path textboxrect="0,0,0,0"/>
            <v:imagedata r:id="rId119" o:title=""/>
          </v:shape>
          <o:OLEObject DrawAspect="Content" r:id="rId120" ObjectID="_15250452" ProgID="Equation.3" ShapeID="_x0000_i52" Type="Embed"/>
        </w:object>
      </w:r>
      <w:r>
        <w:t xml:space="preserve">, (руб.), где,</w:t>
      </w:r>
    </w:p>
    <w:p>
      <w:pPr>
        <w:jc w:val="both"/>
        <w:rPr>
          <w:i/>
        </w:rPr>
      </w:pPr>
    </w:p>
    <w:p>
      <w:pPr>
        <w:numPr>
          <w:numId w:val="8"/>
          <w:ilvl w:val="0"/>
        </w:numPr>
        <w:tabs>
          <w:tab w:val="clear" w:pos="870"/>
          <w:tab w:val="num" w:pos="720"/>
        </w:tabs>
        <w:ind w:left="1083" w:hanging="573"/>
        <w:jc w:val="both"/>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3" o:spid="_x0000_s53" type="#_x0000_t75" style="width:24.55pt;height:19.55pt;mso-wrap-distance-left:0.00pt;mso-wrap-distance-top:0.00pt;mso-wrap-distance-right:0.00pt;mso-wrap-distance-bottom:0.00pt;" filled="f" stroked="f">
            <v:path textboxrect="0,0,0,0"/>
            <v:imagedata r:id="rId121" o:title=""/>
          </v:shape>
          <o:OLEObject DrawAspect="Content" r:id="rId122" ObjectID="_15250453" ProgID="Equation.3" ShapeID="_x0000_i53" Type="Embed"/>
        </w:object>
      </w:r>
      <w:r>
        <w:t xml:space="preserve"> - дополнительный расход условного топлива, затраченного на пусковые операции до окончания пусковых операций (для генерирующего оборудования – до включения в сеть и набора диспетчерской нагрузки, для котлоагрегатов – до включения котла в работу); расход условного топлива для каждого вида пусков рассчитывается в соответствии с действующей НТД и ТИ, а в случае её отсутствия по </w:t>
      </w:r>
      <w:bookmarkStart w:id="126" w:name="OLE_LINK1"/>
      <w:bookmarkStart w:id="127" w:name="OLE_LINK2"/>
      <w:r>
        <w:t xml:space="preserve">РД 34.08.552-95</w:t>
      </w:r>
      <w:bookmarkEnd w:id="126"/>
      <w:bookmarkEnd w:id="127"/>
      <w:r>
        <w:t xml:space="preserve">, (</w:t>
      </w:r>
      <w:r>
        <w:t xml:space="preserve">т.у.т</w:t>
      </w:r>
      <w:r>
        <w:t xml:space="preserve">.). При использовании в расчётах РД 34.08.552-95 или методики </w:t>
      </w:r>
      <w:r>
        <w:t xml:space="preserve">МТ-050-2</w:t>
      </w:r>
      <w:r>
        <w:t xml:space="preserve"> (</w:t>
      </w:r>
      <w:r>
        <w:t xml:space="preserve">«Формирование отчета </w:t>
      </w:r>
      <w:r>
        <w:t xml:space="preserve">энергопредприятия</w:t>
      </w:r>
      <w:r>
        <w:t xml:space="preserve"> о</w:t>
      </w:r>
      <w:r>
        <w:t xml:space="preserve"> тепловой экономичности оборудования и по проведению энергетического анализа</w:t>
      </w:r>
      <w:r>
        <w:t xml:space="preserve"> АО «Интер РАО – </w:t>
      </w:r>
      <w:r>
        <w:t xml:space="preserve">Электрогенерация</w:t>
      </w:r>
      <w:r>
        <w:t xml:space="preserve">»</w:t>
      </w:r>
      <w:r>
        <w:t xml:space="preserve">), составляющая </w:t>
      </w:r>
      <w:r>
        <w:rPr>
          <w:i/>
          <w:iCs/>
          <w:lang w:val="en-US"/>
        </w:rPr>
        <w:t xml:space="preserve">V</w:t>
      </w:r>
      <w:r>
        <w:rPr>
          <w:i/>
          <w:iCs/>
          <w:vertAlign w:val="subscript"/>
          <w:lang w:val="en-US"/>
        </w:rPr>
        <w:t xml:space="preserve">c</w:t>
      </w:r>
      <w:r>
        <w:rPr>
          <w:i/>
          <w:iCs/>
          <w:vertAlign w:val="subscript"/>
        </w:rPr>
        <w:t xml:space="preserve">н</w:t>
      </w:r>
      <w:r>
        <w:rPr>
          <w:i/>
          <w:iCs/>
        </w:rPr>
        <w:t xml:space="preserve"> х </w:t>
      </w:r>
      <w:r>
        <w:rPr>
          <w:i/>
          <w:iCs/>
        </w:rPr>
        <w:t xml:space="preserve">Ц</w:t>
      </w:r>
      <w:r>
        <w:rPr>
          <w:i/>
          <w:iCs/>
          <w:vertAlign w:val="subscript"/>
        </w:rPr>
        <w:t xml:space="preserve">сн</w:t>
      </w:r>
      <w:r>
        <w:rPr>
          <w:i/>
          <w:iCs/>
          <w:vertAlign w:val="subscript"/>
        </w:rPr>
        <w:t xml:space="preserve"> </w:t>
      </w:r>
      <w:r>
        <w:t xml:space="preserve">в формуле не учитывается.</w:t>
      </w:r>
    </w:p>
    <w:p>
      <w:pPr>
        <w:numPr>
          <w:numId w:val="8"/>
          <w:ilvl w:val="0"/>
        </w:numPr>
        <w:tabs>
          <w:tab w:val="clear" w:pos="870"/>
          <w:tab w:val="num" w:pos="720"/>
        </w:tabs>
        <w:ind w:left="1080" w:hanging="570"/>
        <w:jc w:val="both"/>
      </w:pPr>
      <w:r>
        <w:rPr>
          <w:position w:val="-12"/>
        </w:rPr>
        <w:object w:dxaOrig="5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4" o:spid="_x0000_s54" type="#_x0000_t75" style="width:24.55pt;height:19.55pt;mso-wrap-distance-left:0.00pt;mso-wrap-distance-top:0.00pt;mso-wrap-distance-right:0.00pt;mso-wrap-distance-bottom:0.00pt;" filled="f" stroked="f">
            <v:path textboxrect="0,0,0,0"/>
            <v:imagedata r:id="rId123" o:title=""/>
          </v:shape>
          <o:OLEObject DrawAspect="Content" r:id="rId124" ObjectID="_15250454" ProgID="Equation.3" ShapeID="_x0000_i54" Type="Embed"/>
        </w:object>
      </w:r>
      <w:r>
        <w:t xml:space="preserve"> - цена топлива, затраченного на пусковые операции, (руб./</w:t>
      </w:r>
      <w:r>
        <w:t xml:space="preserve">т.у.т</w:t>
      </w:r>
      <w:r>
        <w:t xml:space="preserve">.);</w:t>
      </w:r>
    </w:p>
    <w:p>
      <w:pPr>
        <w:numPr>
          <w:numId w:val="8"/>
          <w:ilvl w:val="0"/>
        </w:numPr>
        <w:tabs>
          <w:tab w:val="clear" w:pos="870"/>
          <w:tab w:val="num" w:pos="720"/>
        </w:tabs>
        <w:ind w:left="1080" w:hanging="570"/>
        <w:jc w:val="both"/>
      </w:pPr>
      <w:r>
        <w:rPr>
          <w:position w:val="-12"/>
        </w:rPr>
        <w:object w:dxaOrig="4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5" o:spid="_x0000_s55" type="#_x0000_t75" style="width:21.65pt;height:19.55pt;mso-wrap-distance-left:0.00pt;mso-wrap-distance-top:0.00pt;mso-wrap-distance-right:0.00pt;mso-wrap-distance-bottom:0.00pt;" filled="f" stroked="f">
            <v:path textboxrect="0,0,0,0"/>
            <v:imagedata r:id="rId125" o:title=""/>
          </v:shape>
          <o:OLEObject DrawAspect="Content" r:id="rId126" ObjectID="_15250455" ProgID="Equation.3" ShapeID="_x0000_i55" Type="Embed"/>
        </w:object>
      </w:r>
      <w:r>
        <w:t xml:space="preserve"> - дополнительный расход питательной воды на пусковые операции, (т);</w:t>
      </w:r>
    </w:p>
    <w:p>
      <w:pPr>
        <w:numPr>
          <w:numId w:val="8"/>
          <w:ilvl w:val="0"/>
        </w:numPr>
        <w:tabs>
          <w:tab w:val="clear" w:pos="870"/>
          <w:tab w:val="num" w:pos="720"/>
        </w:tabs>
        <w:ind w:left="1080" w:hanging="570"/>
        <w:jc w:val="both"/>
      </w:pPr>
      <w:r>
        <w:rPr>
          <w:position w:val="-12"/>
        </w:rPr>
        <w:object w:dxaOrig="49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6" o:spid="_x0000_s56" type="#_x0000_t75" style="width:24.55pt;height:19.55pt;mso-wrap-distance-left:0.00pt;mso-wrap-distance-top:0.00pt;mso-wrap-distance-right:0.00pt;mso-wrap-distance-bottom:0.00pt;" filled="f" stroked="f">
            <v:path textboxrect="0,0,0,0"/>
            <v:imagedata r:id="rId127" o:title=""/>
          </v:shape>
          <o:OLEObject DrawAspect="Content" r:id="rId128" ObjectID="_15250456" ProgID="Equation.3" ShapeID="_x0000_i56" Type="Embed"/>
        </w:object>
      </w:r>
      <w:r>
        <w:t xml:space="preserve"> - цена воды, использованной на пусковые операции, (руб./т);</w:t>
      </w:r>
    </w:p>
    <w:p>
      <w:pPr>
        <w:numPr>
          <w:numId w:val="8"/>
          <w:ilvl w:val="0"/>
        </w:numPr>
        <w:tabs>
          <w:tab w:val="clear" w:pos="870"/>
          <w:tab w:val="num" w:pos="720"/>
        </w:tabs>
        <w:ind w:left="1080" w:hanging="570"/>
        <w:jc w:val="both"/>
      </w:pPr>
      <w:r>
        <w:rPr>
          <w:position w:val="-12"/>
        </w:rPr>
        <w:object w:dxaOrig="3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7" o:spid="_x0000_s57" type="#_x0000_t75" style="width:14.15pt;height:19.55pt;mso-wrap-distance-left:0.00pt;mso-wrap-distance-top:0.00pt;mso-wrap-distance-right:0.00pt;mso-wrap-distance-bottom:0.00pt;" filled="f" stroked="f">
            <v:path textboxrect="0,0,0,0"/>
            <v:imagedata r:id="rId129" o:title=""/>
          </v:shape>
          <o:OLEObject DrawAspect="Content" r:id="rId130" ObjectID="_15250457" ProgID="Equation.3" ShapeID="_x0000_i57" Type="Embed"/>
        </w:object>
      </w:r>
      <w:r>
        <w:t xml:space="preserve"> - объем электроэнергии на собственные нужды, использованной на пусковые операции, (МВт</w:t>
      </w:r>
      <w:r>
        <w:rPr>
          <w:rtl/>
        </w:rPr>
        <w:t xml:space="preserve">۰</w:t>
      </w:r>
      <w:r>
        <w:t xml:space="preserve">час);</w:t>
      </w:r>
    </w:p>
    <w:p>
      <w:pPr>
        <w:numPr>
          <w:numId w:val="8"/>
          <w:ilvl w:val="0"/>
        </w:numPr>
        <w:tabs>
          <w:tab w:val="clear" w:pos="870"/>
          <w:tab w:val="num" w:pos="720"/>
        </w:tabs>
        <w:ind w:left="1080" w:hanging="570"/>
        <w:jc w:val="both"/>
      </w:pPr>
      <w:r>
        <w:rPr>
          <w:position w:val="-12"/>
        </w:rPr>
        <w:object w:dxaOrig="4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8" o:spid="_x0000_s58" type="#_x0000_t75" style="width:15.80pt;height:19.55pt;mso-wrap-distance-left:0.00pt;mso-wrap-distance-top:0.00pt;mso-wrap-distance-right:0.00pt;mso-wrap-distance-bottom:0.00pt;" filled="f" stroked="f">
            <v:path textboxrect="0,0,0,0"/>
            <v:imagedata r:id="rId131" o:title=""/>
          </v:shape>
          <o:OLEObject DrawAspect="Content" r:id="rId132" ObjectID="_15250458" ProgID="Equation.3" ShapeID="_x0000_i58" Type="Embed"/>
        </w:object>
      </w:r>
      <w:r>
        <w:t xml:space="preserve"> - цена электроэнергии на собственные нужды, использованной на пусковые операции, (руб./МВт</w:t>
      </w:r>
      <w:r>
        <w:rPr>
          <w:rtl/>
        </w:rPr>
        <w:t xml:space="preserve">۰</w:t>
      </w:r>
      <w:r>
        <w:t xml:space="preserve">час);</w:t>
      </w:r>
    </w:p>
    <w:p>
      <w:pPr>
        <w:numPr>
          <w:numId w:val="8"/>
          <w:ilvl w:val="0"/>
        </w:numPr>
        <w:tabs>
          <w:tab w:val="clear" w:pos="870"/>
          <w:tab w:val="num" w:pos="720"/>
        </w:tabs>
        <w:ind w:left="1080" w:hanging="570"/>
        <w:jc w:val="both"/>
      </w:pPr>
      <w:r>
        <w:rPr>
          <w:position w:val="-10"/>
        </w:rPr>
        <w:object w:dxaOrig="32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9" o:spid="_x0000_s59" type="#_x0000_t75" style="width:14.15pt;height:14.15pt;mso-wrap-distance-left:0.00pt;mso-wrap-distance-top:0.00pt;mso-wrap-distance-right:0.00pt;mso-wrap-distance-bottom:0.00pt;" filled="f" stroked="f">
            <v:path textboxrect="0,0,0,0"/>
            <v:imagedata r:id="rId133" o:title=""/>
          </v:shape>
          <o:OLEObject DrawAspect="Content" r:id="rId134" ObjectID="_15250459" ProgID="Equation.3" ShapeID="_x0000_i59" Type="Embed"/>
        </w:object>
      </w:r>
      <w:r>
        <w:t xml:space="preserve"> - прочие затраты на пусковые операции (при наличии), (руб.)</w:t>
      </w:r>
      <w:r>
        <w:t xml:space="preserve">;</w:t>
      </w:r>
    </w:p>
    <w:p>
      <w:pPr>
        <w:ind w:left="1080" w:hanging="570"/>
        <w:jc w:val="both"/>
      </w:pPr>
      <w:r>
        <w:rPr>
          <w:position w:val="-10"/>
        </w:rPr>
        <w:object w:dxaOrig="46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0" o:spid="_x0000_s60" type="#_x0000_t75" style="width:21.65pt;height:14.15pt;mso-wrap-distance-left:0.00pt;mso-wrap-distance-top:0.00pt;mso-wrap-distance-right:0.00pt;mso-wrap-distance-bottom:0.00pt;" filled="f" stroked="f">
            <v:path textboxrect="0,0,0,0"/>
            <v:imagedata r:id="rId135" o:title=""/>
          </v:shape>
          <o:OLEObject DrawAspect="Content" r:id="rId136" ObjectID="_15250460" ProgID="Equation.3" ShapeID="_x0000_i60" Type="Embed"/>
        </w:object>
      </w:r>
      <w:r>
        <w:rPr>
          <w:position w:val="-10"/>
        </w:rPr>
        <w:t xml:space="preserve">- </w:t>
      </w:r>
      <w:r>
        <w:t xml:space="preserve">- положительный эффект экономии топлива, достигаемый при использовании в термодинамическом цикле электростанции параметров пара растапливаемого парового котла в период пуска (руб.), рассчитывается по </w:t>
      </w:r>
      <w:r>
        <w:t xml:space="preserve">формуле :</w:t>
      </w:r>
      <w:r>
        <w:t xml:space="preserve"> </w:t>
      </w:r>
      <w:r>
        <w:rPr>
          <w:position w:val="-30"/>
        </w:rPr>
        <w:object w:dxaOrig="270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1" o:spid="_x0000_s61" type="#_x0000_t75" style="width:131.95pt;height:37.45pt;mso-wrap-distance-left:0.00pt;mso-wrap-distance-top:0.00pt;mso-wrap-distance-right:0.00pt;mso-wrap-distance-bottom:0.00pt;" filled="f" stroked="f">
            <v:path textboxrect="0,0,0,0"/>
            <v:imagedata r:id="rId137" o:title=""/>
          </v:shape>
          <o:OLEObject DrawAspect="Content" r:id="rId138" ObjectID="_15250461" ProgID="Equation.3" ShapeID="_x0000_i61" Type="Embed"/>
        </w:object>
      </w:r>
      <w:r>
        <w:rPr>
          <w:position w:val="-10"/>
        </w:rPr>
        <w:t xml:space="preserve">, где:</w:t>
      </w:r>
    </w:p>
    <w:p>
      <w:pPr>
        <w:ind w:left="1134"/>
        <w:jc w:val="both"/>
      </w:pPr>
      <w:r>
        <w:rPr>
          <w:position w:val="-12"/>
        </w:rPr>
        <w:object w:dxaOrig="4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2" o:spid="_x0000_s62" type="#_x0000_t75" style="width:24.55pt;height:24.55pt;mso-wrap-distance-left:0.00pt;mso-wrap-distance-top:0.00pt;mso-wrap-distance-right:0.00pt;mso-wrap-distance-bottom:0.00pt;" filled="f" stroked="f">
            <v:path textboxrect="0,0,0,0"/>
            <v:imagedata r:id="rId139" o:title=""/>
          </v:shape>
          <o:OLEObject DrawAspect="Content" r:id="rId140" ObjectID="_15250462" ProgID="Equation.3" ShapeID="_x0000_i62" Type="Embed"/>
        </w:object>
      </w:r>
      <w:r>
        <w:t xml:space="preserve">– количество полезно использованного тепла от растопочного котла в цикле электростанции, при отсутствии прибора учёта тепла рассчитывается исходя из расхода и энтальпии полезно используемого пара, Гкал;</w:t>
      </w:r>
    </w:p>
    <w:p>
      <w:pPr>
        <w:ind w:left="1134"/>
        <w:jc w:val="both"/>
      </w:pPr>
      <w:r>
        <w:t xml:space="preserve">η – КПД </w:t>
      </w:r>
      <w:r>
        <w:t xml:space="preserve">котла,%</w:t>
      </w:r>
      <w:r>
        <w:t xml:space="preserve">;</w:t>
      </w:r>
    </w:p>
    <w:p>
      <w:pPr>
        <w:ind w:left="1134"/>
        <w:jc w:val="both"/>
      </w:pPr>
      <w:r>
        <w:t xml:space="preserve">Ц</w:t>
      </w:r>
      <w:r>
        <w:rPr>
          <w:vertAlign w:val="subscript"/>
        </w:rPr>
        <w:t xml:space="preserve">у.т</w:t>
      </w:r>
      <w:r>
        <w:rPr>
          <w:vertAlign w:val="subscript"/>
        </w:rPr>
        <w:t xml:space="preserve">.</w:t>
      </w:r>
      <w:r>
        <w:t xml:space="preserve"> – цена условного топлива, руб./тут;</w:t>
      </w:r>
    </w:p>
    <w:p>
      <w:pPr>
        <w:ind w:left="1134"/>
        <w:jc w:val="both"/>
      </w:pPr>
      <w:r>
        <w:t xml:space="preserve">14,25 – переводной коэффициент.</w:t>
      </w:r>
    </w:p>
    <w:p>
      <w:pPr>
        <w:pStyle w:val="1"/>
        <w:numPr>
          <w:numId w:val="13"/>
          <w:ilvl w:val="1"/>
        </w:numPr>
        <w:tabs>
          <w:tab w:val="left" w:pos="567"/>
        </w:tabs>
        <w:spacing w:before="120" w:after="120"/>
        <w:ind w:left="0" w:firstLine="0"/>
        <w:rPr>
          <w:bCs w:val="0"/>
        </w:rPr>
      </w:pPr>
      <w:bookmarkStart w:id="128" w:name="_Toc309304221"/>
      <w:bookmarkStart w:id="129" w:name="_Toc488848710"/>
      <w:bookmarkStart w:id="130" w:name="_Toc490640164"/>
      <w:bookmarkStart w:id="131" w:name="_Toc490640193"/>
      <w:bookmarkStart w:id="132" w:name="_Toc10707080"/>
      <w:r>
        <w:rPr>
          <w:bCs w:val="0"/>
        </w:rPr>
        <w:t xml:space="preserve">Затраты на возмещение экологического ущерба </w:t>
      </w:r>
      <w:r>
        <w:rPr>
          <w:b w:val="0"/>
          <w:bCs w:val="0"/>
          <w:i/>
        </w:rPr>
        <w:t xml:space="preserve">(</w:t>
      </w:r>
      <w:r>
        <w:rPr>
          <w:b w:val="0"/>
          <w:bCs w:val="0"/>
          <w:i/>
          <w:lang w:val="en-US"/>
        </w:rPr>
        <w:t xml:space="preserve">U</w:t>
      </w:r>
      <w:r>
        <w:rPr>
          <w:b w:val="0"/>
          <w:bCs w:val="0"/>
          <w:i/>
          <w:vertAlign w:val="subscript"/>
        </w:rPr>
        <w:t xml:space="preserve">5</w:t>
      </w:r>
      <w:r>
        <w:rPr>
          <w:b w:val="0"/>
          <w:bCs w:val="0"/>
          <w:i/>
        </w:rPr>
        <w:t xml:space="preserve">)</w:t>
      </w:r>
      <w:bookmarkEnd w:id="128"/>
      <w:bookmarkEnd w:id="129"/>
      <w:bookmarkEnd w:id="130"/>
      <w:bookmarkEnd w:id="131"/>
      <w:bookmarkEnd w:id="132"/>
    </w:p>
    <w:p>
      <w:pPr>
        <w:jc w:val="both"/>
        <w:rPr>
          <w:highlight w:val="red"/>
        </w:rPr>
      </w:pPr>
      <w:r>
        <w:t xml:space="preserve">Возникают в случае причинения ущерба/повреждения объектам охраны окружающей среды; рассчитываются и предъявляются природоохранными органами в установленном порядке, подлежат удовлетворению в соответствии с действующим законодательством</w:t>
      </w:r>
      <w:r>
        <w:t xml:space="preserve">:</w:t>
      </w:r>
    </w:p>
    <w:p>
      <w:pPr>
        <w:jc w:val="both"/>
      </w:pPr>
    </w:p>
    <w:p>
      <w:pPr>
        <w:jc w:val="center"/>
        <w:rPr>
          <w:lang w:val="en-US"/>
        </w:rPr>
      </w:pPr>
      <w:r>
        <w:rPr>
          <w:position w:val="-14"/>
        </w:rPr>
        <w:object w:dxaOrig="22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3" o:spid="_x0000_s63" type="#_x0000_t75" style="width:113.20pt;height:15.80pt;mso-wrap-distance-left:0.00pt;mso-wrap-distance-top:0.00pt;mso-wrap-distance-right:0.00pt;mso-wrap-distance-bottom:0.00pt;" filled="f" stroked="f">
            <v:path textboxrect="0,0,0,0"/>
            <v:imagedata r:id="rId141" o:title=""/>
          </v:shape>
          <o:OLEObject DrawAspect="Content" r:id="rId142" ObjectID="_15250463" ProgID="Equation.3" ShapeID="_x0000_i63" Type="Embed"/>
        </w:object>
      </w:r>
      <w:r>
        <w:rPr>
          <w:lang w:val="en-US"/>
        </w:rPr>
        <w:t xml:space="preserve">+</w:t>
      </w:r>
      <w:r>
        <w:rPr>
          <w:i/>
          <w:lang w:val="en-US"/>
        </w:rPr>
        <w:t xml:space="preserve">S </w:t>
      </w:r>
      <w:r>
        <w:rPr>
          <w:i/>
          <w:vertAlign w:val="subscript"/>
        </w:rPr>
        <w:t xml:space="preserve">оц</w:t>
      </w:r>
      <w:r>
        <w:rPr>
          <w:i/>
          <w:lang w:val="en-US"/>
        </w:rPr>
        <w:t xml:space="preserve">+S </w:t>
      </w:r>
      <w:r>
        <w:rPr>
          <w:i/>
          <w:vertAlign w:val="subscript"/>
        </w:rPr>
        <w:t xml:space="preserve">э</w:t>
      </w:r>
      <w:r>
        <w:rPr>
          <w:i/>
          <w:vertAlign w:val="subscript"/>
          <w:lang w:val="en-US"/>
        </w:rPr>
        <w:t xml:space="preserve">.</w:t>
      </w:r>
      <w:r>
        <w:rPr>
          <w:i/>
          <w:vertAlign w:val="subscript"/>
        </w:rPr>
        <w:t xml:space="preserve">п</w:t>
      </w:r>
      <w:r>
        <w:rPr>
          <w:i/>
          <w:lang w:val="en-US"/>
        </w:rPr>
        <w:t xml:space="preserve">.</w:t>
      </w:r>
      <w:r>
        <w:rPr>
          <w:lang w:val="en-US"/>
        </w:rPr>
        <w:t xml:space="preserve">,+</w:t>
      </w:r>
      <w:r>
        <w:rPr>
          <w:i/>
          <w:lang w:val="en-US"/>
        </w:rPr>
        <w:t xml:space="preserve"> S </w:t>
      </w:r>
      <w:r>
        <w:rPr>
          <w:i/>
          <w:vertAlign w:val="subscript"/>
        </w:rPr>
        <w:t xml:space="preserve">эк</w:t>
      </w:r>
      <w:r>
        <w:rPr>
          <w:i/>
          <w:vertAlign w:val="subscript"/>
          <w:lang w:val="en-US"/>
        </w:rPr>
        <w:t xml:space="preserve">.</w:t>
      </w:r>
      <w:r>
        <w:rPr>
          <w:i/>
          <w:vertAlign w:val="subscript"/>
        </w:rPr>
        <w:t xml:space="preserve">пл</w:t>
      </w:r>
      <w:r>
        <w:rPr>
          <w:i/>
          <w:lang w:val="en-US"/>
        </w:rPr>
        <w:t xml:space="preserve">.+ S* </w:t>
      </w:r>
      <w:r>
        <w:rPr>
          <w:i/>
          <w:vertAlign w:val="subscript"/>
        </w:rPr>
        <w:t xml:space="preserve">эк</w:t>
      </w:r>
      <w:r>
        <w:rPr>
          <w:i/>
          <w:vertAlign w:val="subscript"/>
          <w:lang w:val="en-US"/>
        </w:rPr>
        <w:t xml:space="preserve">.</w:t>
      </w:r>
      <w:r>
        <w:rPr>
          <w:i/>
          <w:vertAlign w:val="subscript"/>
        </w:rPr>
        <w:t xml:space="preserve">пл</w:t>
      </w:r>
      <w:r>
        <w:rPr>
          <w:i/>
          <w:lang w:val="en-US"/>
        </w:rPr>
        <w:t xml:space="preserve">.</w:t>
      </w:r>
      <w:r>
        <w:rPr>
          <w:lang w:val="en-US"/>
        </w:rPr>
        <w:t xml:space="preserve"> (</w:t>
      </w:r>
      <w:r>
        <w:t xml:space="preserve">руб</w:t>
      </w:r>
      <w:r>
        <w:rPr>
          <w:lang w:val="en-US"/>
        </w:rPr>
        <w:t xml:space="preserve">.), </w:t>
      </w:r>
      <w:r>
        <w:t xml:space="preserve">где</w:t>
      </w:r>
      <w:r>
        <w:rPr>
          <w:lang w:val="en-US"/>
        </w:rPr>
        <w:t xml:space="preserve">:</w:t>
      </w:r>
    </w:p>
    <w:p>
      <w:pPr>
        <w:jc w:val="both"/>
        <w:rPr>
          <w:lang w:val="en-US"/>
        </w:rPr>
      </w:pPr>
    </w:p>
    <w:p>
      <w:pPr>
        <w:numPr>
          <w:numId w:val="9"/>
          <w:ilvl w:val="0"/>
        </w:numPr>
        <w:tabs>
          <w:tab w:val="clear" w:pos="1080"/>
          <w:tab w:val="num" w:pos="720"/>
          <w:tab w:val="left" w:pos="1985"/>
        </w:tabs>
        <w:ind w:left="567" w:firstLine="0"/>
        <w:jc w:val="both"/>
      </w:pPr>
      <w:r>
        <w:rPr>
          <w:position w:val="-14"/>
        </w:rPr>
        <w:object w:dxaOrig="104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4" o:spid="_x0000_s64" type="#_x0000_t75" style="width:52.45pt;height:15.80pt;mso-wrap-distance-left:0.00pt;mso-wrap-distance-top:0.00pt;mso-wrap-distance-right:0.00pt;mso-wrap-distance-bottom:0.00pt;" filled="f" stroked="f">
            <v:path textboxrect="0,0,0,0"/>
            <v:imagedata r:id="rId143" o:title=""/>
          </v:shape>
          <o:OLEObject DrawAspect="Content" r:id="rId144" ObjectID="_15250464" ProgID="Equation.3" ShapeID="_x0000_i64" Type="Embed"/>
        </w:object>
      </w:r>
      <w:r>
        <w:rPr>
          <w:i/>
        </w:rPr>
        <w:t xml:space="preserve">– </w:t>
      </w:r>
      <w:r>
        <w:t xml:space="preserve">сумма платежей на возмещение вреда, причиненного объектам охраны окружающей среды, рассчитанн</w:t>
      </w:r>
      <w:r>
        <w:t xml:space="preserve">ая</w:t>
      </w:r>
      <w:r>
        <w:t xml:space="preserve"> и предъявленн</w:t>
      </w:r>
      <w:r>
        <w:t xml:space="preserve">ая</w:t>
      </w:r>
      <w:r>
        <w:t xml:space="preserve"> природоохранными органами в установленном порядке и подлежащие удовлетворению в соответствии с действующим законодательством;</w:t>
      </w:r>
    </w:p>
    <w:p>
      <w:pPr>
        <w:numPr>
          <w:numId w:val="9"/>
          <w:ilvl w:val="0"/>
        </w:numPr>
        <w:tabs>
          <w:tab w:val="clear" w:pos="1080"/>
          <w:tab w:val="num" w:pos="720"/>
          <w:tab w:val="left" w:pos="1985"/>
        </w:tabs>
        <w:ind w:left="567" w:firstLine="0"/>
        <w:jc w:val="both"/>
      </w:pPr>
      <w:r>
        <w:rPr>
          <w:position w:val="-14"/>
        </w:rPr>
        <w:object w:dxaOrig="4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5" o:spid="_x0000_s65" type="#_x0000_t75" style="width:24.55pt;height:15.80pt;mso-wrap-distance-left:0.00pt;mso-wrap-distance-top:0.00pt;mso-wrap-distance-right:0.00pt;mso-wrap-distance-bottom:0.00pt;" filled="f" stroked="f">
            <v:path textboxrect="0,0,0,0"/>
            <v:imagedata r:id="rId145" o:title=""/>
          </v:shape>
          <o:OLEObject DrawAspect="Content" r:id="rId146" ObjectID="_15250465" ProgID="Equation.3" ShapeID="_x0000_i65" Type="Embed"/>
        </w:object>
      </w:r>
      <w:r>
        <w:t xml:space="preserve"> </w:t>
      </w:r>
      <w:r>
        <w:rPr>
          <w:i/>
        </w:rPr>
        <w:t xml:space="preserve">–</w:t>
      </w:r>
      <w:r>
        <w:t xml:space="preserve"> стоимость работ, по ликвидации загрязнений объекта окружающей среды, рекультивации нарушенных земель, искусственному восстановлению биологических ресурсов вследствие технологического нарушения, аварии;</w:t>
      </w:r>
    </w:p>
    <w:p>
      <w:pPr>
        <w:numPr>
          <w:numId w:val="9"/>
          <w:ilvl w:val="0"/>
        </w:numPr>
        <w:tabs>
          <w:tab w:val="left" w:pos="1985"/>
        </w:tabs>
        <w:ind w:left="567" w:firstLine="0"/>
        <w:jc w:val="both"/>
      </w:pPr>
      <w:r>
        <w:rPr>
          <w:i/>
          <w:lang w:val="en-US"/>
        </w:rPr>
        <w:t xml:space="preserve">S</w:t>
      </w:r>
      <w:r>
        <w:rPr>
          <w:i/>
        </w:rPr>
        <w:t xml:space="preserve"> </w:t>
      </w:r>
      <w:r>
        <w:rPr>
          <w:i/>
          <w:vertAlign w:val="subscript"/>
        </w:rPr>
        <w:t xml:space="preserve">оц</w:t>
      </w:r>
      <w:r>
        <w:rPr>
          <w:i/>
          <w:vertAlign w:val="subscript"/>
        </w:rPr>
        <w:t xml:space="preserve"> </w:t>
      </w:r>
      <w:r>
        <w:rPr>
          <w:i/>
        </w:rPr>
        <w:t xml:space="preserve">–</w:t>
      </w:r>
      <w:r>
        <w:t xml:space="preserve">. сумма затрат на проведение работ по оценке вредного воздействия на окружающую природную среду, исчислению убытков и оформлению соответствующих документов (если не были учтены при расчете вышеуказанных показателей);</w:t>
      </w:r>
    </w:p>
    <w:p>
      <w:pPr>
        <w:numPr>
          <w:numId w:val="9"/>
          <w:ilvl w:val="0"/>
        </w:numPr>
        <w:tabs>
          <w:tab w:val="left" w:pos="1985"/>
        </w:tabs>
        <w:ind w:left="567" w:firstLine="0"/>
        <w:jc w:val="both"/>
      </w:pPr>
      <w:r>
        <w:rPr>
          <w:i/>
          <w:lang w:val="en-US"/>
        </w:rPr>
        <w:t xml:space="preserve">S</w:t>
      </w:r>
      <w:r>
        <w:rPr>
          <w:i/>
        </w:rPr>
        <w:t xml:space="preserve"> </w:t>
      </w:r>
      <w:r>
        <w:rPr>
          <w:i/>
          <w:vertAlign w:val="subscript"/>
        </w:rPr>
        <w:t xml:space="preserve">эк.пл</w:t>
      </w:r>
      <w:r>
        <w:rPr>
          <w:i/>
        </w:rPr>
        <w:t xml:space="preserve">. – </w:t>
      </w:r>
      <w:r>
        <w:t xml:space="preserve">сумма сверхнормативных экологических платежей, начисленных за рассматриваемый период по направлению оказанного негативного воздействия истца (если не были учтены при расчете вышеуказанных показателей);</w:t>
      </w:r>
    </w:p>
    <w:p>
      <w:pPr>
        <w:numPr>
          <w:numId w:val="9"/>
          <w:ilvl w:val="0"/>
        </w:numPr>
        <w:tabs>
          <w:tab w:val="left" w:pos="1985"/>
        </w:tabs>
        <w:ind w:left="567" w:firstLine="0"/>
        <w:jc w:val="both"/>
      </w:pPr>
      <w:r>
        <w:rPr>
          <w:i/>
          <w:lang w:val="en-US"/>
        </w:rPr>
        <w:t xml:space="preserve">S</w:t>
      </w:r>
      <w:r>
        <w:rPr>
          <w:i/>
        </w:rPr>
        <w:t xml:space="preserve">* </w:t>
      </w:r>
      <w:r>
        <w:rPr>
          <w:i/>
          <w:vertAlign w:val="subscript"/>
        </w:rPr>
        <w:t xml:space="preserve">эк.пл</w:t>
      </w:r>
      <w:r>
        <w:rPr>
          <w:i/>
        </w:rPr>
        <w:t xml:space="preserve">. – </w:t>
      </w:r>
      <w:r>
        <w:t xml:space="preserve">иные суммы ущерба, взыскиваемые по решению суда, включая упущенную выгоду истца (если не были учтены при расчете вышеуказанных показателей)</w:t>
      </w:r>
      <w:r>
        <w:rPr>
          <w:i/>
        </w:rPr>
        <w:t xml:space="preserve">.</w:t>
      </w:r>
    </w:p>
    <w:p>
      <w:pPr>
        <w:pStyle w:val="1"/>
        <w:numPr>
          <w:numId w:val="13"/>
          <w:ilvl w:val="1"/>
        </w:numPr>
        <w:spacing w:before="120" w:after="120"/>
        <w:rPr>
          <w:bCs w:val="0"/>
        </w:rPr>
      </w:pPr>
      <w:bookmarkStart w:id="133" w:name="_Toc309304222"/>
      <w:bookmarkStart w:id="134" w:name="_Toc488848711"/>
      <w:bookmarkStart w:id="135" w:name="_Toc490640165"/>
      <w:bookmarkStart w:id="136" w:name="_Toc490640194"/>
      <w:bookmarkStart w:id="137" w:name="_Toc10707081"/>
      <w:r>
        <w:rPr>
          <w:bCs w:val="0"/>
        </w:rPr>
        <w:t xml:space="preserve">Затраты на возмещение социального ущерба </w:t>
      </w:r>
      <w:r>
        <w:rPr>
          <w:b w:val="0"/>
          <w:bCs w:val="0"/>
          <w:i/>
        </w:rPr>
        <w:t xml:space="preserve">(</w:t>
      </w:r>
      <w:r>
        <w:rPr>
          <w:b w:val="0"/>
          <w:bCs w:val="0"/>
          <w:i/>
          <w:lang w:val="en-US"/>
        </w:rPr>
        <w:t xml:space="preserve">U</w:t>
      </w:r>
      <w:r>
        <w:rPr>
          <w:b w:val="0"/>
          <w:bCs w:val="0"/>
          <w:i/>
          <w:vertAlign w:val="subscript"/>
        </w:rPr>
        <w:t xml:space="preserve">6</w:t>
      </w:r>
      <w:r>
        <w:rPr>
          <w:b w:val="0"/>
          <w:bCs w:val="0"/>
          <w:i/>
        </w:rPr>
        <w:t xml:space="preserve">)</w:t>
      </w:r>
      <w:bookmarkEnd w:id="133"/>
      <w:bookmarkEnd w:id="134"/>
      <w:bookmarkEnd w:id="135"/>
      <w:bookmarkEnd w:id="136"/>
      <w:bookmarkEnd w:id="137"/>
    </w:p>
    <w:p>
      <w:pPr>
        <w:jc w:val="both"/>
      </w:pPr>
      <w:r>
        <w:t xml:space="preserve">Определяются по установленным законодательством правилам определения размера вреда, причиненного повреждением здоровья или понесенного в результате смерти кормильца, в судебном порядке (в рамках рассмотрения исков о возмещении вреда); во внесудебном порядке на основании заключений учреждений </w:t>
      </w:r>
      <w:r>
        <w:t xml:space="preserve">медико</w:t>
      </w:r>
      <w:r>
        <w:t xml:space="preserve"> – социальной экспертизы и иных экспертных заключений по оценке размера вреда, причиненного жизни и (или) здоровью человека, а также затраты на компенсацию и проведение мероприятий вследствие травмирования и (или) гибели персонала и третьих лиц. </w:t>
      </w:r>
    </w:p>
    <w:p>
      <w:pPr>
        <w:pStyle w:val="1"/>
        <w:numPr>
          <w:numId w:val="13"/>
          <w:ilvl w:val="1"/>
        </w:numPr>
        <w:tabs>
          <w:tab w:val="clear" w:pos="720"/>
          <w:tab w:val="num" w:pos="851"/>
        </w:tabs>
        <w:spacing w:before="120" w:after="120"/>
        <w:ind w:left="567" w:right="-284" w:hanging="567"/>
        <w:rPr>
          <w:bCs w:val="0"/>
        </w:rPr>
      </w:pPr>
      <w:bookmarkStart w:id="138" w:name="i107548"/>
      <w:bookmarkStart w:id="139" w:name="_Toc309304223"/>
      <w:bookmarkStart w:id="140" w:name="_Toc488848712"/>
      <w:bookmarkStart w:id="141" w:name="_Toc490640166"/>
      <w:bookmarkStart w:id="142" w:name="_Toc490640195"/>
      <w:bookmarkStart w:id="143" w:name="_Toc10707082"/>
      <w:bookmarkEnd w:id="138"/>
      <w:r>
        <w:rPr>
          <w:bCs w:val="0"/>
        </w:rPr>
        <w:t xml:space="preserve">Затраты </w:t>
      </w:r>
      <w:r>
        <w:rPr>
          <w:bCs w:val="0"/>
        </w:rPr>
        <w:t xml:space="preserve">филиалов </w:t>
      </w:r>
      <w:r>
        <w:rPr>
          <w:bCs w:val="0"/>
        </w:rPr>
        <w:t xml:space="preserve">на возмещение убытков потребителям </w:t>
      </w:r>
      <w:r>
        <w:rPr>
          <w:b w:val="0"/>
          <w:bCs w:val="0"/>
          <w:i/>
        </w:rPr>
        <w:t xml:space="preserve">(</w:t>
      </w:r>
      <w:r>
        <w:rPr>
          <w:b w:val="0"/>
          <w:bCs w:val="0"/>
          <w:i/>
          <w:lang w:val="en-US"/>
        </w:rPr>
        <w:t xml:space="preserve">U</w:t>
      </w:r>
      <w:r>
        <w:rPr>
          <w:b w:val="0"/>
          <w:bCs w:val="0"/>
          <w:i/>
          <w:vertAlign w:val="subscript"/>
        </w:rPr>
        <w:t xml:space="preserve">7</w:t>
      </w:r>
      <w:r>
        <w:rPr>
          <w:b w:val="0"/>
          <w:bCs w:val="0"/>
          <w:i/>
        </w:rPr>
        <w:t xml:space="preserve">)</w:t>
      </w:r>
      <w:bookmarkEnd w:id="139"/>
      <w:bookmarkEnd w:id="140"/>
      <w:bookmarkEnd w:id="141"/>
      <w:bookmarkEnd w:id="142"/>
      <w:bookmarkEnd w:id="143"/>
    </w:p>
    <w:p>
      <w:pPr>
        <w:jc w:val="both"/>
      </w:pPr>
      <w:r>
        <w:t xml:space="preserve">Возмещение убытков потребителям вследствие отключения или ограничения энергоснабжения; определяются в соответствии с параметрами коммерческих договоров и результатов судебных решений:</w:t>
      </w:r>
    </w:p>
    <w:p>
      <w:pPr>
        <w:jc w:val="both"/>
      </w:pPr>
      <w:r>
        <w:t xml:space="preserve">                         </w:t>
      </w:r>
      <w:r>
        <w:rPr>
          <w:position w:val="-28"/>
        </w:rPr>
        <w:object w:dxaOrig="116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6" o:spid="_x0000_s66" type="#_x0000_t75" style="width:61.20pt;height:34.55pt;mso-wrap-distance-left:0.00pt;mso-wrap-distance-top:0.00pt;mso-wrap-distance-right:0.00pt;mso-wrap-distance-bottom:0.00pt;" filled="f" stroked="f">
            <v:path textboxrect="0,0,0,0"/>
            <v:imagedata r:id="rId147" o:title=""/>
          </v:shape>
          <o:OLEObject DrawAspect="Content" r:id="rId148" ObjectID="_15250466" ProgID="Equation.3" ShapeID="_x0000_i66" Type="Embed"/>
        </w:object>
      </w:r>
      <w:r>
        <w:t xml:space="preserve"> (руб.),</w:t>
      </w:r>
      <w:r>
        <w:tab/>
        <w:t xml:space="preserve">где:</w:t>
      </w:r>
    </w:p>
    <w:p>
      <w:pPr>
        <w:numPr>
          <w:numId w:val="10"/>
          <w:ilvl w:val="0"/>
        </w:numPr>
        <w:tabs>
          <w:tab w:val="clear" w:pos="1260"/>
          <w:tab w:val="left" w:pos="567"/>
        </w:tabs>
        <w:ind w:left="142" w:firstLine="0"/>
      </w:pPr>
      <w:r>
        <w:rPr>
          <w:position w:val="-12"/>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7" o:spid="_x0000_s67" type="#_x0000_t75" style="width:14.15pt;height:19.55pt;mso-wrap-distance-left:0.00pt;mso-wrap-distance-top:0.00pt;mso-wrap-distance-right:0.00pt;mso-wrap-distance-bottom:0.00pt;" filled="f" stroked="f">
            <v:path textboxrect="0,0,0,0"/>
            <v:imagedata r:id="rId149" o:title=""/>
          </v:shape>
          <o:OLEObject DrawAspect="Content" r:id="rId150" ObjectID="_15250467" ProgID="Equation.3" ShapeID="_x0000_i67" Type="Embed"/>
        </w:object>
      </w:r>
      <w:r>
        <w:t xml:space="preserve"> - сумма платежей, подлежащая выплате потребителям энергии.</w:t>
      </w:r>
    </w:p>
    <w:p>
      <w:pPr>
        <w:pStyle w:val="1"/>
        <w:numPr>
          <w:numId w:val="13"/>
          <w:ilvl w:val="1"/>
        </w:numPr>
        <w:spacing w:before="120" w:after="120"/>
        <w:rPr>
          <w:bCs w:val="0"/>
        </w:rPr>
      </w:pPr>
      <w:bookmarkStart w:id="144" w:name="_Toc309304224"/>
      <w:bookmarkStart w:id="145" w:name="_Toc488848713"/>
      <w:bookmarkStart w:id="146" w:name="_Toc490640167"/>
      <w:bookmarkStart w:id="147" w:name="_Toc490640196"/>
      <w:bookmarkStart w:id="148" w:name="_Toc10707083"/>
      <w:r>
        <w:rPr>
          <w:bCs w:val="0"/>
        </w:rPr>
        <w:t xml:space="preserve">Потери на балансирующем рынке по собственной инициативе </w:t>
      </w:r>
      <w:r>
        <w:rPr>
          <w:b w:val="0"/>
          <w:bCs w:val="0"/>
          <w:i/>
        </w:rPr>
        <w:t xml:space="preserve">(</w:t>
      </w:r>
      <w:r>
        <w:rPr>
          <w:b w:val="0"/>
          <w:bCs w:val="0"/>
          <w:i/>
          <w:lang w:val="en-US"/>
        </w:rPr>
        <w:t xml:space="preserve">U</w:t>
      </w:r>
      <w:r>
        <w:rPr>
          <w:b w:val="0"/>
          <w:bCs w:val="0"/>
          <w:i/>
          <w:vertAlign w:val="subscript"/>
        </w:rPr>
        <w:t xml:space="preserve">8</w:t>
      </w:r>
      <w:r>
        <w:rPr>
          <w:b w:val="0"/>
          <w:bCs w:val="0"/>
          <w:i/>
        </w:rPr>
        <w:t xml:space="preserve">)</w:t>
      </w:r>
      <w:bookmarkEnd w:id="144"/>
      <w:bookmarkEnd w:id="145"/>
      <w:bookmarkEnd w:id="146"/>
      <w:bookmarkEnd w:id="147"/>
      <w:bookmarkEnd w:id="148"/>
    </w:p>
    <w:p>
      <w:pPr>
        <w:jc w:val="both"/>
      </w:pPr>
      <w:r>
        <w:t xml:space="preserve">U</w:t>
      </w:r>
      <w:r>
        <w:rPr>
          <w:vertAlign w:val="subscript"/>
        </w:rPr>
        <w:t xml:space="preserve">8 </w:t>
      </w:r>
      <w:r>
        <w:t xml:space="preserve">потери в результате разгрузки (недовыработки электроэнергии)</w:t>
      </w:r>
      <w:r>
        <w:rPr>
          <w:color w:val="ff0000"/>
        </w:rPr>
        <w:t xml:space="preserve"> </w:t>
      </w:r>
      <w:r>
        <w:t xml:space="preserve">ГТП генерации по собственной инициативе, вследствие внепланового изменения графика генерации, технологического нарушения, а также в случаях аварийного отключения оборудования. В общих случаях величина определяется как произведение положительной разности суммы планового объема производства и объема отклонения по внешней инициативе на ставку снижения объема по собственной инициативе для ГТП </w:t>
      </w:r>
      <w:r>
        <w:t xml:space="preserve">генерации</w:t>
      </w:r>
      <w:r>
        <w:t xml:space="preserve"> скорректированной на цену небаланса в ценовой зоне:</w:t>
      </w:r>
    </w:p>
    <w:p>
      <w:pPr>
        <w:ind w:firstLine="720"/>
        <w:jc w:val="center"/>
      </w:pPr>
      <w:r>
        <w:rPr>
          <w:position w:val="-28"/>
        </w:rPr>
        <w:object w:dxaOrig="768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8" o:spid="_x0000_s68" type="#_x0000_t75" style="width:380.40pt;height:34.55pt;mso-wrap-distance-left:0.00pt;mso-wrap-distance-top:0.00pt;mso-wrap-distance-right:0.00pt;mso-wrap-distance-bottom:0.00pt;" filled="f" stroked="f">
            <v:path textboxrect="0,0,0,0"/>
            <v:imagedata r:id="rId151" o:title=""/>
          </v:shape>
          <o:OLEObject DrawAspect="Content" r:id="rId152" ObjectID="_15250468" ProgID="Equation.3" ShapeID="_x0000_i68" Type="Embed"/>
        </w:object>
      </w:r>
      <w:r>
        <w:t xml:space="preserve">, (руб.)</w:t>
      </w:r>
    </w:p>
    <w:p>
      <w:pPr>
        <w:ind w:firstLine="720"/>
        <w:jc w:val="center"/>
        <w:rPr>
          <w:b/>
        </w:rPr>
      </w:pPr>
    </w:p>
    <w:p>
      <w:pPr>
        <w:numPr>
          <w:numId w:val="10"/>
          <w:ilvl w:val="0"/>
        </w:numPr>
        <w:tabs>
          <w:tab w:val="clear" w:pos="1260"/>
          <w:tab w:val="num" w:pos="1418"/>
        </w:tabs>
        <w:ind w:left="709" w:firstLine="0"/>
        <w:jc w:val="both"/>
      </w:pP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9" o:spid="_x0000_s69" type="#_x0000_t75" style="width:0.85pt;height:10.80pt;mso-wrap-distance-left:0.00pt;mso-wrap-distance-top:0.00pt;mso-wrap-distance-right:0.00pt;mso-wrap-distance-bottom:0.00pt;" filled="f" stroked="f">
            <v:path textboxrect="0,0,0,0"/>
            <v:imagedata r:id="rId153" o:title=""/>
          </v:shape>
          <o:OLEObject DrawAspect="Content" r:id="rId154" ObjectID="_15250469" ProgID="Equation.3" ShapeID="_x0000_i69" Type="Embed"/>
        </w:object>
      </w:r>
      <w:r>
        <w:t xml:space="preserve"> - час суток (час);</w:t>
      </w:r>
    </w:p>
    <w:p>
      <w:pPr>
        <w:numPr>
          <w:numId w:val="10"/>
          <w:ilvl w:val="0"/>
        </w:numPr>
        <w:tabs>
          <w:tab w:val="clear" w:pos="1260"/>
          <w:tab w:val="num" w:pos="1418"/>
        </w:tabs>
        <w:ind w:left="709" w:firstLine="0"/>
        <w:jc w:val="both"/>
      </w:pPr>
      <w:r>
        <w:rPr>
          <w:position w:val="-14"/>
        </w:rPr>
        <w:object w:dxaOrig="6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0" o:spid="_x0000_s70" type="#_x0000_t75" style="width:34.55pt;height:15.80pt;mso-wrap-distance-left:0.00pt;mso-wrap-distance-top:0.00pt;mso-wrap-distance-right:0.00pt;mso-wrap-distance-bottom:0.00pt;" filled="f" stroked="f">
            <v:path textboxrect="0,0,0,0"/>
            <v:imagedata r:id="rId155" o:title=""/>
          </v:shape>
          <o:OLEObject DrawAspect="Content" r:id="rId156" ObjectID="_15250470" ProgID="Equation.3" ShapeID="_x0000_i70" Type="Embed"/>
        </w:object>
      </w:r>
      <w:r>
        <w:t xml:space="preserve"> - фактический объем электроэнергии ГТПГ, (</w:t>
      </w:r>
      <w:r>
        <w:t xml:space="preserve">МВт•час</w:t>
      </w:r>
      <w:r>
        <w:t xml:space="preserve">);</w:t>
      </w:r>
    </w:p>
    <w:p>
      <w:pPr>
        <w:numPr>
          <w:numId w:val="10"/>
          <w:ilvl w:val="0"/>
        </w:numPr>
        <w:tabs>
          <w:tab w:val="clear" w:pos="1260"/>
          <w:tab w:val="num" w:pos="1418"/>
        </w:tabs>
        <w:ind w:left="709" w:firstLine="0"/>
        <w:jc w:val="both"/>
      </w:pPr>
      <w:r>
        <w:rPr>
          <w:i/>
          <w:lang w:val="en-US"/>
        </w:rPr>
        <w:t xml:space="preserve">VS</w:t>
      </w:r>
      <w:r>
        <w:rPr>
          <w:i/>
          <w:vertAlign w:val="subscript"/>
        </w:rPr>
        <w:t xml:space="preserve">ТГ</w:t>
      </w:r>
      <w:r>
        <w:t xml:space="preserve"> - плановый объем производства, соответствующий торговому графику ГТПГ, (</w:t>
      </w:r>
      <w:r>
        <w:t xml:space="preserve">МВт•час</w:t>
      </w:r>
      <w:r>
        <w:t xml:space="preserve">);</w:t>
      </w:r>
    </w:p>
    <w:p>
      <w:pPr>
        <w:numPr>
          <w:numId w:val="10"/>
          <w:ilvl w:val="0"/>
        </w:numPr>
        <w:tabs>
          <w:tab w:val="clear" w:pos="1260"/>
          <w:tab w:val="num" w:pos="1418"/>
        </w:tabs>
        <w:ind w:left="709" w:firstLine="0"/>
        <w:jc w:val="both"/>
      </w:pPr>
      <w:r>
        <w:rPr>
          <w:position w:val="-4"/>
        </w:rPr>
        <w:object w:dxaOrig="40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1" o:spid="_x0000_s71" type="#_x0000_t75" style="width:21.65pt;height:10.80pt;mso-wrap-distance-left:0.00pt;mso-wrap-distance-top:0.00pt;mso-wrap-distance-right:0.00pt;mso-wrap-distance-bottom:0.00pt;" filled="f" stroked="f">
            <v:path textboxrect="0,0,0,0"/>
            <v:imagedata r:id="rId157" o:title=""/>
          </v:shape>
          <o:OLEObject DrawAspect="Content" r:id="rId158" ObjectID="_15250471" ProgID="Equation.3" ShapeID="_x0000_i71" Type="Embed"/>
        </w:object>
      </w:r>
      <w:r>
        <w:t xml:space="preserve"> - суммы составляющих величин отклонений по внешней инициативе ИВ1, ИВ0, ИВ0-1, ИВА ГТПГ, (</w:t>
      </w:r>
      <w:r>
        <w:t xml:space="preserve">МВт•час</w:t>
      </w:r>
      <w:r>
        <w:t xml:space="preserve">);</w:t>
      </w:r>
    </w:p>
    <w:p>
      <w:pPr>
        <w:numPr>
          <w:numId w:val="10"/>
          <w:ilvl w:val="0"/>
        </w:numPr>
        <w:tabs>
          <w:tab w:val="clear" w:pos="1260"/>
          <w:tab w:val="num" w:pos="1418"/>
        </w:tabs>
        <w:ind w:left="709" w:firstLine="0"/>
        <w:jc w:val="both"/>
      </w:pPr>
      <w:r>
        <w:rPr>
          <w:i/>
          <w:lang w:val="en-US"/>
        </w:rPr>
        <w:t xml:space="preserve">I</w:t>
      </w:r>
      <w:r>
        <w:rPr>
          <w:i/>
          <w:vertAlign w:val="subscript"/>
        </w:rPr>
        <w:t xml:space="preserve">БР </w:t>
      </w:r>
      <w:r>
        <w:t xml:space="preserve">- индикатор балансирующего рынка для данной ГТПГ, (</w:t>
      </w:r>
      <w:r>
        <w:t xml:space="preserve">руб</w:t>
      </w:r>
      <w:r>
        <w:t xml:space="preserve">/</w:t>
      </w:r>
      <w:r>
        <w:t xml:space="preserve">МВт•час</w:t>
      </w:r>
      <w:r>
        <w:t xml:space="preserve">);</w:t>
      </w:r>
    </w:p>
    <w:p>
      <w:pPr>
        <w:numPr>
          <w:numId w:val="10"/>
          <w:ilvl w:val="0"/>
        </w:numPr>
        <w:tabs>
          <w:tab w:val="clear" w:pos="1260"/>
          <w:tab w:val="num" w:pos="1418"/>
        </w:tabs>
        <w:ind w:left="709" w:firstLine="0"/>
        <w:jc w:val="both"/>
      </w:pPr>
      <w:r>
        <w:rPr>
          <w:position w:val="-12"/>
        </w:rPr>
        <w:object w:dxaOrig="5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2" o:spid="_x0000_s72" type="#_x0000_t75" style="width:29.15pt;height:19.55pt;mso-wrap-distance-left:0.00pt;mso-wrap-distance-top:0.00pt;mso-wrap-distance-right:0.00pt;mso-wrap-distance-bottom:0.00pt;" filled="f" stroked="f">
            <v:path textboxrect="0,0,0,0"/>
            <v:imagedata r:id="rId159" o:title=""/>
          </v:shape>
          <o:OLEObject DrawAspect="Content" r:id="rId160" ObjectID="_15250472" ProgID="Equation.3" ShapeID="_x0000_i72" Type="Embed"/>
        </w:object>
      </w:r>
      <w:r>
        <w:t xml:space="preserve"> - средневзвешенная цена на продажу РСВ (по принятым поузловым объемам) для данной ГТПГ, (</w:t>
      </w:r>
      <w:r>
        <w:t xml:space="preserve">руб</w:t>
      </w:r>
      <w:r>
        <w:t xml:space="preserve">/</w:t>
      </w:r>
      <w:r>
        <w:t xml:space="preserve">МВт•час</w:t>
      </w:r>
      <w:r>
        <w:t xml:space="preserve">);</w:t>
      </w:r>
    </w:p>
    <w:p>
      <w:pPr>
        <w:numPr>
          <w:numId w:val="10"/>
          <w:ilvl w:val="0"/>
        </w:numPr>
        <w:tabs>
          <w:tab w:val="clear" w:pos="1260"/>
          <w:tab w:val="num" w:pos="1418"/>
        </w:tabs>
        <w:ind w:left="709" w:firstLine="0"/>
        <w:jc w:val="both"/>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3" o:spid="_x0000_s73" type="#_x0000_t75" style="width:24.55pt;height:19.55pt;mso-wrap-distance-left:0.00pt;mso-wrap-distance-top:0.00pt;mso-wrap-distance-right:0.00pt;mso-wrap-distance-bottom:0.00pt;" filled="f" stroked="f">
            <v:path textboxrect="0,0,0,0"/>
            <v:imagedata r:id="rId161" o:title=""/>
          </v:shape>
          <o:OLEObject DrawAspect="Content" r:id="rId162" ObjectID="_15250473" ProgID="Equation.3" ShapeID="_x0000_i73" Type="Embed"/>
        </w:object>
      </w:r>
      <w:r>
        <w:t xml:space="preserve"> - цена в ценовой заявке РСВ ГТПГ, объем которой соответствует объему уточненного диспетчерского графика без учета команд по собственной инициативе (УДГ') с учетом объемов отклонений, обусловленных управляющим воздействием режимной автоматики, (</w:t>
      </w:r>
      <w:r>
        <w:t xml:space="preserve">руб</w:t>
      </w:r>
      <w:r>
        <w:t xml:space="preserve">/</w:t>
      </w:r>
      <w:r>
        <w:t xml:space="preserve">МВт•час</w:t>
      </w:r>
      <w:r>
        <w:t xml:space="preserve">);</w:t>
      </w:r>
    </w:p>
    <w:p>
      <w:pPr>
        <w:numPr>
          <w:numId w:val="10"/>
          <w:ilvl w:val="0"/>
        </w:numPr>
        <w:tabs>
          <w:tab w:val="clear" w:pos="1260"/>
          <w:tab w:val="num" w:pos="1418"/>
        </w:tabs>
        <w:ind w:left="709" w:firstLine="0"/>
        <w:jc w:val="both"/>
      </w:pPr>
      <w:r>
        <w:rPr>
          <w:position w:val="-12"/>
        </w:rPr>
        <w:object w:dxaOrig="4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4" o:spid="_x0000_s74" type="#_x0000_t75" style="width:21.65pt;height:19.55pt;mso-wrap-distance-left:0.00pt;mso-wrap-distance-top:0.00pt;mso-wrap-distance-right:0.00pt;mso-wrap-distance-bottom:0.00pt;" filled="f" stroked="f">
            <v:path textboxrect="0,0,0,0"/>
            <v:imagedata r:id="rId163" o:title=""/>
          </v:shape>
          <o:OLEObject DrawAspect="Content" r:id="rId164" ObjectID="_15250474" ProgID="Equation.3" ShapeID="_x0000_i74" Type="Embed"/>
        </w:object>
      </w:r>
      <w:r>
        <w:t xml:space="preserve"> - фактическая цена корректировки небаланса БР для ценовой зоны, (</w:t>
      </w:r>
      <w:r>
        <w:t xml:space="preserve">руб</w:t>
      </w:r>
      <w:r>
        <w:t xml:space="preserve">/</w:t>
      </w:r>
      <w:r>
        <w:t xml:space="preserve">МВт•час</w:t>
      </w:r>
      <w:r>
        <w:t xml:space="preserve">);</w:t>
      </w:r>
    </w:p>
    <w:p>
      <w:pPr>
        <w:numPr>
          <w:numId w:val="10"/>
          <w:ilvl w:val="0"/>
        </w:numPr>
        <w:tabs>
          <w:tab w:val="clear" w:pos="1260"/>
          <w:tab w:val="num" w:pos="1418"/>
        </w:tabs>
        <w:ind w:left="709" w:firstLine="0"/>
        <w:jc w:val="both"/>
      </w:pPr>
      <w:r>
        <w:rPr>
          <w:position w:val="-12"/>
        </w:rPr>
        <w:object w:dxaOrig="5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5" o:spid="_x0000_s75" type="#_x0000_t75" style="width:29.15pt;height:19.55pt;mso-wrap-distance-left:0.00pt;mso-wrap-distance-top:0.00pt;mso-wrap-distance-right:0.00pt;mso-wrap-distance-bottom:0.00pt;" filled="f" stroked="f">
            <v:path textboxrect="0,0,0,0"/>
            <v:imagedata r:id="rId165" o:title=""/>
          </v:shape>
          <o:OLEObject DrawAspect="Content" r:id="rId166" ObjectID="_15250475" ProgID="Equation.3" ShapeID="_x0000_i75" Type="Embed"/>
        </w:object>
      </w:r>
      <w:r>
        <w:t xml:space="preserve"> - топливная составляющая производства, (</w:t>
      </w:r>
      <w:r>
        <w:t xml:space="preserve">руб</w:t>
      </w:r>
      <w:r>
        <w:t xml:space="preserve">/</w:t>
      </w:r>
      <w:r>
        <w:t xml:space="preserve">МВт•час</w:t>
      </w:r>
      <w:r>
        <w:t xml:space="preserve">).</w:t>
      </w:r>
    </w:p>
    <w:p>
      <w:pPr>
        <w:ind w:left="1260"/>
        <w:jc w:val="both"/>
      </w:pPr>
    </w:p>
    <w:p>
      <w:pPr>
        <w:jc w:val="both"/>
      </w:pPr>
      <w:r>
        <w:t xml:space="preserve">Расчеты частных случаев, например, таких как работа станции в вынужденном режиме, либо при условии подачи интегральных ценовых заявок РСВ, отличаются от общего.</w:t>
      </w:r>
    </w:p>
    <w:p>
      <w:pPr>
        <w:pStyle w:val="1"/>
        <w:numPr>
          <w:numId w:val="13"/>
          <w:ilvl w:val="1"/>
        </w:numPr>
        <w:spacing w:before="120" w:after="120"/>
        <w:rPr>
          <w:bCs w:val="0"/>
        </w:rPr>
      </w:pPr>
      <w:bookmarkStart w:id="149" w:name="_Toc309304225"/>
      <w:bookmarkStart w:id="150" w:name="_Toc488848714"/>
      <w:bookmarkStart w:id="151" w:name="_Toc490640168"/>
      <w:bookmarkStart w:id="152" w:name="_Toc490640197"/>
      <w:bookmarkStart w:id="153" w:name="_Toc10707084"/>
      <w:r>
        <w:rPr>
          <w:bCs w:val="0"/>
        </w:rPr>
        <w:t xml:space="preserve">Неоплата располагаемой мощности электростанции </w:t>
      </w:r>
      <w:r>
        <w:rPr>
          <w:b w:val="0"/>
          <w:bCs w:val="0"/>
          <w:i/>
        </w:rPr>
        <w:t xml:space="preserve">(</w:t>
      </w:r>
      <w:r>
        <w:rPr>
          <w:b w:val="0"/>
          <w:bCs w:val="0"/>
          <w:i/>
          <w:lang w:val="en-US"/>
        </w:rPr>
        <w:t xml:space="preserve">U</w:t>
      </w:r>
      <w:r>
        <w:rPr>
          <w:b w:val="0"/>
          <w:bCs w:val="0"/>
          <w:i/>
          <w:vertAlign w:val="subscript"/>
        </w:rPr>
        <w:t xml:space="preserve">9</w:t>
      </w:r>
      <w:r>
        <w:rPr>
          <w:b w:val="0"/>
          <w:bCs w:val="0"/>
          <w:i/>
        </w:rPr>
        <w:t xml:space="preserve">)</w:t>
      </w:r>
      <w:bookmarkEnd w:id="149"/>
      <w:bookmarkEnd w:id="150"/>
      <w:bookmarkEnd w:id="151"/>
      <w:bookmarkEnd w:id="152"/>
      <w:bookmarkEnd w:id="153"/>
    </w:p>
    <w:p>
      <w:pPr>
        <w:tabs>
          <w:tab w:val="left" w:pos="7923"/>
        </w:tabs>
        <w:jc w:val="both"/>
      </w:pPr>
      <w:r>
        <w:t xml:space="preserve">Возникает в результате невыполнения требований по способности генерирующего оборудования к выработке электроэнергии, вследствие аварий и нарушений в работе оборудования (в т.ч. аварийных отключений), что приводит к снижению величины оплаты за предо</w:t>
      </w:r>
      <w:r>
        <w:softHyphen/>
        <w:t xml:space="preserve">ставляемую покупателям по договорам мощность. </w:t>
      </w:r>
    </w:p>
    <w:p>
      <w:pPr>
        <w:tabs>
          <w:tab w:val="left" w:pos="7923"/>
        </w:tabs>
        <w:jc w:val="both"/>
      </w:pPr>
    </w:p>
    <w:p>
      <w:pPr>
        <w:ind w:firstLine="720"/>
        <w:jc w:val="center"/>
        <w:rPr>
          <w:b/>
        </w:rPr>
      </w:pPr>
      <w:r>
        <w:rPr>
          <w:position w:val="-30"/>
        </w:rPr>
        <w:object w:dxaOrig="276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6" o:spid="_x0000_s76" type="#_x0000_t75" style="width:139.40pt;height:37.45pt;mso-wrap-distance-left:0.00pt;mso-wrap-distance-top:0.00pt;mso-wrap-distance-right:0.00pt;mso-wrap-distance-bottom:0.00pt;" filled="f" stroked="f">
            <v:path textboxrect="0,0,0,0"/>
            <v:imagedata r:id="rId167" o:title=""/>
          </v:shape>
          <o:OLEObject DrawAspect="Content" r:id="rId168" ObjectID="_15250476" ProgID="Equation.3" ShapeID="_x0000_i76" Type="Embed"/>
        </w:object>
      </w:r>
      <m:oMath>
        <m:r>
          <w:rPr>
            <w:rFonts w:ascii="Cambria Math" w:hAnsi="Cambria Math"/>
          </w:rPr>
          <m:t>×</m:t>
        </m:r>
        <m:sSub>
          <m:sSubPr>
            <m:ctrlPr>
              <w:rPr>
                <w:rFonts w:ascii="Cambria Math" w:hAnsi="Cambria Math"/>
                <w:i/>
              </w:rPr>
            </m:ctrlPr>
          </m:sSubPr>
          <m:e>
            <m:r>
              <w:rPr>
                <w:rFonts w:ascii="Cambria Math" w:hAnsi="Cambria Math"/>
                <w:lang w:val="en-US"/>
              </w:rPr>
              <m:t>k</m:t>
            </m:r>
            <m:ctrlPr>
              <w:rPr>
                <w:rFonts w:ascii="Cambria Math" w:hAnsi="Cambria Math"/>
                <w:i/>
                <w:lang w:val="en-US"/>
              </w:rPr>
            </m:ctrlPr>
          </m:e>
          <m:sub>
            <m:r>
              <w:rPr>
                <w:rFonts w:ascii="Cambria Math" w:hAnsi="Cambria Math"/>
              </w:rPr>
              <m:t>диф</m:t>
            </m:r>
          </m:sub>
        </m:sSub>
      </m:oMath>
      <w:r>
        <w:t xml:space="preserve">, (руб.),</w:t>
      </w:r>
      <w:r>
        <w:tab/>
        <w:t xml:space="preserve">где:</w:t>
      </w:r>
    </w:p>
    <w:p>
      <w:pPr>
        <w:numPr>
          <w:numId w:val="10"/>
          <w:ilvl w:val="0"/>
        </w:numPr>
        <w:jc w:val="both"/>
      </w:pP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7" o:spid="_x0000_s77" type="#_x0000_t75" style="width:2.90pt;height:10.80pt;mso-wrap-distance-left:0.00pt;mso-wrap-distance-top:0.00pt;mso-wrap-distance-right:0.00pt;mso-wrap-distance-bottom:0.00pt;" filled="f" stroked="f">
            <v:path textboxrect="0,0,0,0"/>
            <v:imagedata r:id="rId169" o:title=""/>
          </v:shape>
          <o:OLEObject DrawAspect="Content" r:id="rId170" ObjectID="_15250477" ProgID="Equation.3" ShapeID="_x0000_i77" Type="Embed"/>
        </w:object>
      </w:r>
      <w:r>
        <w:t xml:space="preserve"> - час суток (час); </w:t>
      </w:r>
    </w:p>
    <w:p>
      <w:pPr>
        <w:numPr>
          <w:numId w:val="10"/>
          <w:ilvl w:val="0"/>
        </w:numPr>
        <w:jc w:val="both"/>
      </w:pPr>
      <w:r>
        <w:rPr>
          <w:position w:val="-12"/>
        </w:rPr>
        <w:object w:dxaOrig="3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8" o:spid="_x0000_s78" type="#_x0000_t75" style="width:14.15pt;height:19.55pt;mso-wrap-distance-left:0.00pt;mso-wrap-distance-top:0.00pt;mso-wrap-distance-right:0.00pt;mso-wrap-distance-bottom:0.00pt;" filled="f" stroked="f">
            <v:path textboxrect="0,0,0,0"/>
            <v:imagedata r:id="rId171" o:title=""/>
          </v:shape>
          <o:OLEObject DrawAspect="Content" r:id="rId172" ObjectID="_15250478" ProgID="Equation.3" ShapeID="_x0000_i78" Type="Embed"/>
        </w:object>
      </w:r>
      <w:r>
        <w:t xml:space="preserve"> - величина снижения способности к выработке электроэнергии по соответствующей дельте </w:t>
      </w:r>
      <w:r>
        <w:rPr>
          <w:lang w:val="en-US"/>
        </w:rPr>
        <w:t xml:space="preserve">r</w:t>
      </w:r>
      <w:r>
        <w:t xml:space="preserve"> в соответствующий час </w:t>
      </w: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9" o:spid="_x0000_s79" type="#_x0000_t75" style="width:2.90pt;height:10.80pt;mso-wrap-distance-left:0.00pt;mso-wrap-distance-top:0.00pt;mso-wrap-distance-right:0.00pt;mso-wrap-distance-bottom:0.00pt;" filled="f" stroked="f">
            <v:path textboxrect="0,0,0,0"/>
            <v:imagedata r:id="rId173" o:title=""/>
          </v:shape>
          <o:OLEObject DrawAspect="Content" r:id="rId174" ObjectID="_15250479" ProgID="Equation.3" ShapeID="_x0000_i79" Type="Embed"/>
        </w:object>
      </w:r>
      <w:r>
        <w:t xml:space="preserve"> операционных суток Х, в которые действовало технологическое нарушение, (МВт); </w:t>
      </w:r>
    </w:p>
    <w:p>
      <w:pPr>
        <w:numPr>
          <w:numId w:val="10"/>
          <w:ilvl w:val="0"/>
        </w:numPr>
        <w:jc w:val="both"/>
      </w:pPr>
      <w:r>
        <w:rPr>
          <w:position w:val="-12"/>
        </w:rPr>
        <w:object w:dxaOrig="1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0" o:spid="_x0000_s80" type="#_x0000_t75" style="width:9.55pt;height:19.55pt;mso-wrap-distance-left:0.00pt;mso-wrap-distance-top:0.00pt;mso-wrap-distance-right:0.00pt;mso-wrap-distance-bottom:0.00pt;" filled="f" stroked="f">
            <v:path textboxrect="0,0,0,0"/>
            <v:imagedata r:id="rId175" o:title=""/>
          </v:shape>
          <o:OLEObject DrawAspect="Content" r:id="rId176" ObjectID="_15250480" ProgID="Equation.3" ShapeID="_x0000_i80" Type="Embed"/>
        </w:object>
      </w:r>
      <w:r>
        <w:t xml:space="preserve"> - временной интервал действия определенной </w:t>
      </w:r>
      <w:r>
        <w:rPr>
          <w:position w:val="-12"/>
        </w:rPr>
        <w:object w:dxaOrig="3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1" o:spid="_x0000_s81" type="#_x0000_t75" style="width:14.15pt;height:19.55pt;mso-wrap-distance-left:0.00pt;mso-wrap-distance-top:0.00pt;mso-wrap-distance-right:0.00pt;mso-wrap-distance-bottom:0.00pt;" filled="f" stroked="f">
            <v:path textboxrect="0,0,0,0"/>
            <v:imagedata r:id="rId177" o:title=""/>
          </v:shape>
          <o:OLEObject DrawAspect="Content" r:id="rId178" ObjectID="_15250481" ProgID="Equation.3" ShapeID="_x0000_i81" Type="Embed"/>
        </w:object>
      </w:r>
      <w:r>
        <w:t xml:space="preserve">;</w:t>
      </w:r>
    </w:p>
    <w:p>
      <w:pPr>
        <w:numPr>
          <w:numId w:val="10"/>
          <w:ilvl w:val="0"/>
        </w:numPr>
        <w:jc w:val="both"/>
      </w:pPr>
      <w:r>
        <w:rPr>
          <w:position w:val="-10"/>
        </w:rPr>
        <w:object w:dxaOrig="26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2" o:spid="_x0000_s82" type="#_x0000_t75" style="width:10.80pt;height:14.15pt;mso-wrap-distance-left:0.00pt;mso-wrap-distance-top:0.00pt;mso-wrap-distance-right:0.00pt;mso-wrap-distance-bottom:0.00pt;" filled="f" stroked="f">
            <v:path textboxrect="0,0,0,0"/>
            <v:imagedata r:id="rId179" o:title=""/>
          </v:shape>
          <o:OLEObject DrawAspect="Content" r:id="rId180" ObjectID="_15250482" ProgID="Equation.3" ShapeID="_x0000_i82" Type="Embed"/>
        </w:object>
      </w:r>
      <w:r>
        <w:t xml:space="preserve"> - коэффициент готовности, установленный нормативными документами для соответствующей</w:t>
      </w:r>
      <w:r>
        <w:rPr>
          <w:position w:val="-12"/>
        </w:rPr>
        <w:object w:dxaOrig="3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3" o:spid="_x0000_s83" type="#_x0000_t75" style="width:14.15pt;height:19.55pt;mso-wrap-distance-left:0.00pt;mso-wrap-distance-top:0.00pt;mso-wrap-distance-right:0.00pt;mso-wrap-distance-bottom:0.00pt;" filled="f" stroked="f">
            <v:path textboxrect="0,0,0,0"/>
            <v:imagedata r:id="rId181" o:title=""/>
          </v:shape>
          <o:OLEObject DrawAspect="Content" r:id="rId182" ObjectID="_15250483" ProgID="Equation.3" ShapeID="_x0000_i83" Type="Embed"/>
        </w:object>
      </w:r>
      <w:r>
        <w:t xml:space="preserve">;</w:t>
      </w:r>
    </w:p>
    <w:p>
      <w:pPr>
        <w:numPr>
          <w:numId w:val="10"/>
          <w:ilvl w:val="0"/>
        </w:numPr>
        <w:jc w:val="both"/>
      </w:pPr>
      <w:r>
        <w:rPr>
          <w:position w:val="-12"/>
        </w:rPr>
        <w:object w:dxaOrig="6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4" o:spid="_x0000_s84" type="#_x0000_t75" style="width:33.70pt;height:19.55pt;mso-wrap-distance-left:0.00pt;mso-wrap-distance-top:0.00pt;mso-wrap-distance-right:0.00pt;mso-wrap-distance-bottom:0.00pt;" filled="f" stroked="f">
            <v:path textboxrect="0,0,0,0"/>
            <v:imagedata r:id="rId183" o:title=""/>
          </v:shape>
          <o:OLEObject DrawAspect="Content" r:id="rId184" ObjectID="_15250484" ProgID="Equation.3" ShapeID="_x0000_i84" Type="Embed"/>
        </w:object>
      </w:r>
      <w:r>
        <w:t xml:space="preserve"> - цена поставки мощности на КОМ, ДПМ, ВР, тариф на мощность (неценовая зона) в соответствующий месяц, (руб./МВт);</w:t>
      </w:r>
    </w:p>
    <w:p>
      <w:pPr>
        <w:numPr>
          <w:numId w:val="10"/>
          <w:ilvl w:val="0"/>
        </w:numPr>
        <w:jc w:val="both"/>
      </w:pPr>
      <w:r>
        <w:rPr>
          <w:position w:val="-12"/>
        </w:rPr>
        <w:object w:dxaOrig="4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5" o:spid="_x0000_s85" type="#_x0000_t75" style="width:21.65pt;height:19.55pt;mso-wrap-distance-left:0.00pt;mso-wrap-distance-top:0.00pt;mso-wrap-distance-right:0.00pt;mso-wrap-distance-bottom:0.00pt;" filled="f" stroked="f">
            <v:path textboxrect="0,0,0,0"/>
            <v:imagedata r:id="rId185" o:title=""/>
          </v:shape>
          <o:OLEObject DrawAspect="Content" r:id="rId186" ObjectID="_15250485" ProgID="Equation.3" ShapeID="_x0000_i85" Type="Embed"/>
        </w:object>
      </w:r>
      <w:r>
        <w:t xml:space="preserve"> - количество часов в соответствующем месяце;</w:t>
      </w:r>
    </w:p>
    <w:p>
      <w:pPr>
        <w:numPr>
          <w:numId w:val="10"/>
          <w:ilvl w:val="0"/>
        </w:numPr>
        <w:jc w:val="both"/>
      </w:pPr>
      <m:oMath>
        <m:sSub>
          <m:sSubPr>
            <m:ctrlPr>
              <w:rPr>
                <w:rFonts w:ascii="Cambria Math" w:hAnsi="Cambria Math"/>
                <w:i/>
              </w:rPr>
            </m:ctrlPr>
          </m:sSubPr>
          <m:e>
            <m:r>
              <w:rPr>
                <w:rFonts w:ascii="Cambria Math" w:hAnsi="Cambria Math"/>
                <w:lang w:val="en-US"/>
              </w:rPr>
              <m:t>k</m:t>
            </m:r>
            <m:ctrlPr>
              <w:rPr>
                <w:rFonts w:ascii="Cambria Math" w:hAnsi="Cambria Math"/>
                <w:i/>
                <w:lang w:val="en-US"/>
              </w:rPr>
            </m:ctrlPr>
          </m:e>
          <m:sub>
            <m:r>
              <w:rPr>
                <w:rFonts w:ascii="Cambria Math" w:hAnsi="Cambria Math"/>
              </w:rPr>
              <m:t>диф</m:t>
            </m:r>
          </m:sub>
        </m:sSub>
      </m:oMath>
      <w:r>
        <w:t xml:space="preserve"> – показатель дифференциации значений коэффициентов готовности, определенный АО «СО ЕЭС» на соответствующий месяц, в который </w:t>
      </w:r>
    </w:p>
    <w:p>
      <w:pPr>
        <w:numPr>
          <w:numId w:val="10"/>
          <w:ilvl w:val="0"/>
        </w:numPr>
        <w:jc w:val="both"/>
      </w:pPr>
      <w:r>
        <w:t xml:space="preserve">действовало технологическое нарушение.</w:t>
      </w:r>
    </w:p>
    <w:p>
      <w:pPr>
        <w:pStyle w:val="1"/>
        <w:numPr>
          <w:numId w:val="13"/>
          <w:ilvl w:val="1"/>
        </w:numPr>
        <w:spacing w:before="120" w:after="120"/>
        <w:rPr>
          <w:bCs w:val="0"/>
        </w:rPr>
      </w:pPr>
      <w:bookmarkStart w:id="154" w:name="_Toc309304226"/>
      <w:bookmarkStart w:id="155" w:name="_Toc488848715"/>
      <w:bookmarkStart w:id="156" w:name="_Toc490640169"/>
      <w:bookmarkStart w:id="157" w:name="_Toc490640198"/>
      <w:bookmarkStart w:id="158" w:name="_Toc10707085"/>
      <w:r>
        <w:rPr>
          <w:bCs w:val="0"/>
        </w:rPr>
        <w:t xml:space="preserve">Потери от неоказания или неполного оказания услуг по обеспечению системной надежности (НПРЧ, АВРЧМ и пр.) </w:t>
      </w:r>
      <w:r>
        <w:rPr>
          <w:b w:val="0"/>
          <w:bCs w:val="0"/>
          <w:i/>
        </w:rPr>
        <w:t xml:space="preserve">(</w:t>
      </w:r>
      <w:r>
        <w:rPr>
          <w:b w:val="0"/>
          <w:bCs w:val="0"/>
          <w:i/>
          <w:lang w:val="en-US"/>
        </w:rPr>
        <w:t xml:space="preserve">U</w:t>
      </w:r>
      <w:r>
        <w:rPr>
          <w:b w:val="0"/>
          <w:bCs w:val="0"/>
          <w:i/>
          <w:vertAlign w:val="subscript"/>
        </w:rPr>
        <w:t xml:space="preserve">10</w:t>
      </w:r>
      <w:r>
        <w:rPr>
          <w:b w:val="0"/>
          <w:bCs w:val="0"/>
          <w:i/>
        </w:rPr>
        <w:t xml:space="preserve">)</w:t>
      </w:r>
      <w:bookmarkEnd w:id="154"/>
      <w:bookmarkEnd w:id="155"/>
      <w:bookmarkEnd w:id="156"/>
      <w:bookmarkEnd w:id="157"/>
      <w:bookmarkEnd w:id="158"/>
    </w:p>
    <w:p>
      <w:pPr>
        <w:jc w:val="both"/>
      </w:pPr>
      <w:r>
        <w:t xml:space="preserve">Имеют место для станций/блоков, оказывающих услуги по нормированному первичному регулированию частоты; потери от неоказания или неполного предоставления услуг:</w:t>
      </w:r>
    </w:p>
    <w:p>
      <w:pPr>
        <w:ind w:left="720"/>
        <w:jc w:val="center"/>
        <w:rPr>
          <w:sz w:val="20"/>
          <w:szCs w:val="20"/>
        </w:rPr>
      </w:pPr>
      <w:r>
        <w:rPr>
          <w:position w:val="-12"/>
          <w:sz w:val="20"/>
          <w:szCs w:val="20"/>
        </w:rPr>
        <w:object w:dxaOrig="28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6" o:spid="_x0000_s86" type="#_x0000_t75" style="width:143.15pt;height:19.55pt;mso-wrap-distance-left:0.00pt;mso-wrap-distance-top:0.00pt;mso-wrap-distance-right:0.00pt;mso-wrap-distance-bottom:0.00pt;" filled="f" stroked="f">
            <v:path textboxrect="0,0,0,0"/>
            <v:imagedata r:id="rId187" o:title=""/>
          </v:shape>
          <o:OLEObject DrawAspect="Content" r:id="rId188" ObjectID="_15250486" ProgID="Equation.3" ShapeID="_x0000_i86" Type="Embed"/>
        </w:object>
      </w:r>
      <w:r>
        <w:rPr>
          <w:sz w:val="20"/>
          <w:szCs w:val="20"/>
        </w:rPr>
        <w:t xml:space="preserve">, (</w:t>
      </w:r>
      <w:r>
        <w:rPr>
          <w:sz w:val="20"/>
          <w:szCs w:val="20"/>
        </w:rPr>
        <w:t xml:space="preserve">руб</w:t>
      </w:r>
      <w:r>
        <w:rPr>
          <w:sz w:val="20"/>
          <w:szCs w:val="20"/>
        </w:rPr>
        <w:t xml:space="preserve">), где:</w:t>
      </w:r>
    </w:p>
    <w:p>
      <w:pPr>
        <w:numPr>
          <w:numId w:val="12"/>
          <w:ilvl w:val="0"/>
        </w:numPr>
        <w:tabs>
          <w:tab w:val="clear" w:pos="1080"/>
          <w:tab w:val="num" w:pos="567"/>
        </w:tabs>
        <w:spacing w:before="120"/>
        <w:ind w:left="142" w:firstLine="0"/>
      </w:pPr>
      <w:r>
        <w:rPr>
          <w:b/>
          <w:position w:val="-12"/>
        </w:rPr>
        <w:object w:dxaOrig="7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7" o:spid="_x0000_s87" type="#_x0000_t75" style="width:37.45pt;height:19.55pt;mso-wrap-distance-left:0.00pt;mso-wrap-distance-top:0.00pt;mso-wrap-distance-right:0.00pt;mso-wrap-distance-bottom:0.00pt;" filled="f" stroked="f">
            <v:path textboxrect="0,0,0,0"/>
            <v:imagedata r:id="rId189" o:title=""/>
          </v:shape>
          <o:OLEObject DrawAspect="Content" r:id="rId190" ObjectID="_15250487" ProgID="Equation.3" ShapeID="_x0000_i87" Type="Embed"/>
        </w:object>
      </w:r>
      <w:r>
        <w:t xml:space="preserve"> - число часов неоказания/неполного оказания услуг по НПРЧ </w:t>
      </w:r>
      <w:r>
        <w:rPr>
          <w:bCs/>
        </w:rPr>
        <w:t xml:space="preserve">(АВРЧМ и пр.)</w:t>
      </w:r>
      <w:r>
        <w:t xml:space="preserve">;</w:t>
      </w:r>
    </w:p>
    <w:p>
      <w:pPr>
        <w:numPr>
          <w:numId w:val="12"/>
          <w:ilvl w:val="0"/>
        </w:numPr>
        <w:tabs>
          <w:tab w:val="clear" w:pos="1080"/>
          <w:tab w:val="num" w:pos="567"/>
        </w:tabs>
        <w:ind w:left="142" w:firstLine="0"/>
      </w:pPr>
      <w:r>
        <w:rPr>
          <w:position w:val="-10"/>
        </w:rPr>
        <w:object w:dxaOrig="63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8" o:spid="_x0000_s88" type="#_x0000_t75" style="width:34.55pt;height:19.55pt;mso-wrap-distance-left:0.00pt;mso-wrap-distance-top:0.00pt;mso-wrap-distance-right:0.00pt;mso-wrap-distance-bottom:0.00pt;" filled="f" stroked="f">
            <v:path textboxrect="0,0,0,0"/>
            <v:imagedata r:id="rId191" o:title=""/>
          </v:shape>
          <o:OLEObject DrawAspect="Content" r:id="rId192" ObjectID="_15250488" ProgID="Equation.3" ShapeID="_x0000_i88" Type="Embed"/>
        </w:object>
      </w:r>
      <w:r>
        <w:t xml:space="preserve"> - диапазон первичного регулирования соответствующего блока, (МВт);</w:t>
      </w:r>
    </w:p>
    <w:p>
      <w:pPr>
        <w:numPr>
          <w:numId w:val="12"/>
          <w:ilvl w:val="0"/>
        </w:numPr>
        <w:tabs>
          <w:tab w:val="clear" w:pos="1080"/>
          <w:tab w:val="num" w:pos="567"/>
        </w:tabs>
        <w:ind w:left="142" w:firstLine="0"/>
      </w:pPr>
      <w:r>
        <w:rPr>
          <w:b/>
          <w:position w:val="-10"/>
        </w:rPr>
        <w:object w:dxaOrig="7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9" o:spid="_x0000_s89" type="#_x0000_t75" style="width:34.55pt;height:14.15pt;mso-wrap-distance-left:0.00pt;mso-wrap-distance-top:0.00pt;mso-wrap-distance-right:0.00pt;mso-wrap-distance-bottom:0.00pt;" filled="f" stroked="f">
            <v:path textboxrect="0,0,0,0"/>
            <v:imagedata r:id="rId193" o:title=""/>
          </v:shape>
          <o:OLEObject DrawAspect="Content" r:id="rId194" ObjectID="_15250489" ProgID="Equation.3" ShapeID="_x0000_i89" Type="Embed"/>
        </w:object>
      </w:r>
      <w:r>
        <w:t xml:space="preserve"> - цена оказания услуг НПРЧ </w:t>
      </w:r>
      <w:r>
        <w:rPr>
          <w:bCs/>
        </w:rPr>
        <w:t xml:space="preserve">(АВРЧМ и пр.)</w:t>
      </w:r>
      <w:r>
        <w:t xml:space="preserve">, (</w:t>
      </w:r>
      <w:r>
        <w:t xml:space="preserve">руб</w:t>
      </w:r>
      <w:r>
        <w:t xml:space="preserve">/МВт).</w:t>
      </w:r>
    </w:p>
    <w:p>
      <w:pPr>
        <w:spacing w:before="60"/>
      </w:pPr>
      <w:r>
        <w:t xml:space="preserve">По другим видам потерь от неоказания или неполного оказания услуг по обеспечению системной надежности (РСУ) рассчитываются в аналогичном порядке.</w:t>
      </w:r>
    </w:p>
    <w:p>
      <w:pPr>
        <w:pStyle w:val="1"/>
        <w:numPr>
          <w:numId w:val="13"/>
          <w:ilvl w:val="1"/>
        </w:numPr>
        <w:spacing w:before="120" w:after="120"/>
        <w:rPr>
          <w:bCs w:val="0"/>
        </w:rPr>
      </w:pPr>
      <w:bookmarkStart w:id="159" w:name="_Toc309304227"/>
      <w:bookmarkStart w:id="160" w:name="_Toc488848716"/>
      <w:bookmarkStart w:id="161" w:name="_Toc490640170"/>
      <w:bookmarkStart w:id="162" w:name="_Toc490640199"/>
      <w:bookmarkStart w:id="163" w:name="_Toc10707086"/>
      <w:r>
        <w:rPr>
          <w:bCs w:val="0"/>
        </w:rPr>
        <w:t xml:space="preserve">Прочие расходы </w:t>
      </w:r>
      <w:r>
        <w:rPr>
          <w:b w:val="0"/>
          <w:bCs w:val="0"/>
          <w:i/>
        </w:rPr>
        <w:t xml:space="preserve">(</w:t>
      </w:r>
      <w:r>
        <w:rPr>
          <w:b w:val="0"/>
          <w:bCs w:val="0"/>
          <w:i/>
          <w:lang w:val="en-US"/>
        </w:rPr>
        <w:t xml:space="preserve">U</w:t>
      </w:r>
      <w:r>
        <w:rPr>
          <w:b w:val="0"/>
          <w:bCs w:val="0"/>
          <w:i/>
          <w:vertAlign w:val="subscript"/>
        </w:rPr>
        <w:t xml:space="preserve">пр</w:t>
      </w:r>
      <w:r>
        <w:rPr>
          <w:b w:val="0"/>
          <w:bCs w:val="0"/>
          <w:i/>
        </w:rPr>
        <w:t xml:space="preserve">)</w:t>
      </w:r>
      <w:bookmarkEnd w:id="159"/>
      <w:bookmarkEnd w:id="160"/>
      <w:bookmarkEnd w:id="161"/>
      <w:bookmarkEnd w:id="162"/>
      <w:bookmarkEnd w:id="163"/>
    </w:p>
    <w:p>
      <w:pPr>
        <w:jc w:val="both"/>
      </w:pPr>
      <w:r>
        <w:t xml:space="preserve">Складываются из затрат по выявлению причин и обстоятельств технологического нарушения, аварии (проведение экспертизы, претензионно-исковой работы, обследований и т.п.).</w:t>
      </w:r>
    </w:p>
    <w:p>
      <w:pPr>
        <w:pStyle w:val="1"/>
        <w:numPr>
          <w:numId w:val="13"/>
          <w:ilvl w:val="1"/>
        </w:numPr>
        <w:spacing w:before="120"/>
        <w:rPr>
          <w:bCs w:val="0"/>
        </w:rPr>
      </w:pPr>
      <w:bookmarkStart w:id="164" w:name="_Toc309304228"/>
      <w:bookmarkStart w:id="165" w:name="_Toc488848717"/>
      <w:bookmarkStart w:id="166" w:name="_Toc490640171"/>
      <w:bookmarkStart w:id="167" w:name="_Toc490640200"/>
      <w:bookmarkStart w:id="168" w:name="_Toc10707087"/>
      <w:r>
        <w:rPr>
          <w:bCs w:val="0"/>
        </w:rPr>
        <w:t xml:space="preserve">Упущенная выгода от недовыработки энергии </w:t>
      </w:r>
      <w:r>
        <w:rPr>
          <w:b w:val="0"/>
          <w:bCs w:val="0"/>
          <w:i/>
        </w:rPr>
        <w:t xml:space="preserve">(</w:t>
      </w:r>
      <w:r>
        <w:rPr>
          <w:b w:val="0"/>
          <w:bCs w:val="0"/>
          <w:i/>
          <w:lang w:val="en-US"/>
        </w:rPr>
        <w:t xml:space="preserve">W</w:t>
      </w:r>
      <w:r>
        <w:rPr>
          <w:b w:val="0"/>
          <w:bCs w:val="0"/>
          <w:i/>
          <w:vertAlign w:val="subscript"/>
          <w:lang w:val="en-US"/>
        </w:rPr>
        <w:t xml:space="preserve">M</w:t>
      </w:r>
      <w:r>
        <w:rPr>
          <w:b w:val="0"/>
          <w:bCs w:val="0"/>
          <w:i/>
        </w:rPr>
        <w:t xml:space="preserve">)</w:t>
      </w:r>
      <w:bookmarkEnd w:id="164"/>
      <w:bookmarkEnd w:id="165"/>
      <w:bookmarkEnd w:id="166"/>
      <w:bookmarkEnd w:id="167"/>
      <w:bookmarkEnd w:id="168"/>
    </w:p>
    <w:bookmarkStart w:id="169" w:name="_Toc309304229"/>
    <w:p>
      <w:pPr>
        <w:jc w:val="center"/>
      </w:pPr>
      <w:r>
        <w:object w:dxaOrig="229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0" o:spid="_x0000_s90" type="#_x0000_t75" style="width:114.05pt;height:19.55pt;mso-wrap-distance-left:0.00pt;mso-wrap-distance-top:0.00pt;mso-wrap-distance-right:0.00pt;mso-wrap-distance-bottom:0.00pt;" filled="f" stroked="f">
            <v:path textboxrect="0,0,0,0"/>
            <v:imagedata r:id="rId195" o:title=""/>
          </v:shape>
          <o:OLEObject DrawAspect="Content" r:id="rId196" ObjectID="_15250490" ProgID="Equation.3" ShapeID="_x0000_i90" Type="Embed"/>
        </w:object>
      </w:r>
      <w:r>
        <w:t xml:space="preserve">, (</w:t>
      </w:r>
      <w:r>
        <w:t xml:space="preserve">руб</w:t>
      </w:r>
      <w:r>
        <w:t xml:space="preserve">), где:</w:t>
      </w:r>
      <w:bookmarkEnd w:id="169"/>
    </w:p>
    <w:p>
      <w:pPr>
        <w:numPr>
          <w:numId w:val="12"/>
          <w:ilvl w:val="0"/>
        </w:numPr>
      </w:pPr>
      <w:r>
        <w:rPr>
          <w:b/>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1" o:spid="_x0000_s91" type="#_x0000_t75" style="width:24.55pt;height:19.55pt;mso-wrap-distance-left:0.00pt;mso-wrap-distance-top:0.00pt;mso-wrap-distance-right:0.00pt;mso-wrap-distance-bottom:0.00pt;" filled="f" stroked="f">
            <v:path textboxrect="0,0,0,0"/>
            <v:imagedata r:id="rId197" o:title=""/>
          </v:shape>
          <o:OLEObject DrawAspect="Content" r:id="rId198" ObjectID="_15250491" ProgID="Equation.3" ShapeID="_x0000_i91" Type="Embed"/>
        </w:object>
      </w:r>
      <w:r>
        <w:t xml:space="preserve"> - упущенная выгода от недовыработки электроэнергии;</w:t>
      </w:r>
    </w:p>
    <w:p>
      <w:pPr>
        <w:numPr>
          <w:numId w:val="12"/>
          <w:ilvl w:val="0"/>
        </w:numPr>
      </w:pPr>
      <w:r>
        <w:rPr>
          <w:position w:val="-10"/>
        </w:rPr>
        <w:object w:dxaOrig="46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2" o:spid="_x0000_s92" type="#_x0000_t75" style="width:24.55pt;height:14.15pt;mso-wrap-distance-left:0.00pt;mso-wrap-distance-top:0.00pt;mso-wrap-distance-right:0.00pt;mso-wrap-distance-bottom:0.00pt;" filled="f" stroked="f">
            <v:path textboxrect="0,0,0,0"/>
            <v:imagedata r:id="rId199" o:title=""/>
          </v:shape>
          <o:OLEObject DrawAspect="Content" r:id="rId200" ObjectID="_15250492" ProgID="Equation.3" ShapeID="_x0000_i92" Type="Embed"/>
        </w:object>
      </w:r>
      <w:r>
        <w:t xml:space="preserve"> - упущенная выгода от недовыработки тепловой энергии;</w:t>
      </w:r>
    </w:p>
    <w:p>
      <w:pPr>
        <w:numPr>
          <w:numId w:val="12"/>
          <w:ilvl w:val="0"/>
        </w:numPr>
      </w:pPr>
      <w:r>
        <w:rPr>
          <w:position w:val="-12"/>
        </w:rPr>
        <w:object w:dxaOrig="4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3" o:spid="_x0000_s93" type="#_x0000_t75" style="width:15.80pt;height:19.55pt;mso-wrap-distance-left:0.00pt;mso-wrap-distance-top:0.00pt;mso-wrap-distance-right:0.00pt;mso-wrap-distance-bottom:0.00pt;" filled="f" stroked="f">
            <v:path textboxrect="0,0,0,0"/>
            <v:imagedata r:id="rId201" o:title=""/>
          </v:shape>
          <o:OLEObject DrawAspect="Content" r:id="rId202" ObjectID="_15250493" ProgID="Equation.3" ShapeID="_x0000_i93" Type="Embed"/>
        </w:object>
      </w:r>
      <w:r>
        <w:t xml:space="preserve"> - упущенная выгода при отключениях для устранения повреждений на тепловых сетях.</w:t>
      </w:r>
    </w:p>
    <w:p>
      <w:pPr>
        <w:pStyle w:val="1"/>
        <w:numPr>
          <w:numId w:val="13"/>
          <w:ilvl w:val="2"/>
        </w:numPr>
        <w:tabs>
          <w:tab w:val="clear" w:pos="720"/>
          <w:tab w:val="num" w:pos="1134"/>
        </w:tabs>
        <w:ind w:left="284" w:firstLine="0"/>
        <w:rPr>
          <w:b w:val="0"/>
          <w:bCs w:val="0"/>
        </w:rPr>
      </w:pPr>
      <w:bookmarkStart w:id="170" w:name="_Toc309304230"/>
      <w:bookmarkStart w:id="171" w:name="_Toc488848718"/>
      <w:bookmarkStart w:id="172" w:name="_Toc490640172"/>
      <w:bookmarkStart w:id="173" w:name="_Toc490640201"/>
      <w:bookmarkStart w:id="174" w:name="_Toc10707088"/>
      <w:r>
        <w:rPr>
          <w:b w:val="0"/>
          <w:bCs w:val="0"/>
        </w:rPr>
        <w:t xml:space="preserve">Упущенная выгода от недовыработки электроэнергии </w:t>
      </w:r>
      <w:r>
        <w:rPr>
          <w:b w:val="0"/>
          <w:bCs w:val="0"/>
          <w:i/>
        </w:rPr>
        <w:t xml:space="preserve">(</w:t>
      </w:r>
      <w:r>
        <w:rPr>
          <w:b w:val="0"/>
          <w:bCs w:val="0"/>
          <w:i/>
          <w:lang w:val="en-US"/>
        </w:rPr>
        <w:t xml:space="preserve">W</w:t>
      </w:r>
      <w:r>
        <w:rPr>
          <w:b w:val="0"/>
          <w:bCs w:val="0"/>
          <w:i/>
          <w:vertAlign w:val="subscript"/>
        </w:rPr>
        <w:t xml:space="preserve">ЭМ</w:t>
      </w:r>
      <w:r>
        <w:rPr>
          <w:b w:val="0"/>
          <w:bCs w:val="0"/>
          <w:i/>
        </w:rPr>
        <w:t xml:space="preserve">)</w:t>
      </w:r>
      <w:r>
        <w:rPr>
          <w:b w:val="0"/>
          <w:bCs w:val="0"/>
        </w:rPr>
        <w:t xml:space="preserve">.</w:t>
      </w:r>
      <w:bookmarkEnd w:id="170"/>
      <w:bookmarkEnd w:id="171"/>
      <w:bookmarkEnd w:id="172"/>
      <w:bookmarkEnd w:id="173"/>
      <w:bookmarkEnd w:id="174"/>
    </w:p>
    <w:p>
      <w:pPr>
        <w:tabs>
          <w:tab w:val="num" w:pos="1134"/>
        </w:tabs>
        <w:ind w:left="284"/>
        <w:jc w:val="both"/>
      </w:pPr>
      <w:r>
        <w:t xml:space="preserve">Возникает в связи с тем, что при снижении располагаемой мощности генерирующего оборудования (ограничения мощности) по причине нарушений в работе энергетического оборудования или аварийного отключения, плановая маржинальная прибыль по рынку регулируемых договоров РД и РСВ, заложенная в тарифе на электроэнергию и цене РСВ, снижается на величину дополнительных расходов, связанных с вынужденной покупкой объемов электроэнергии на РСВ в обеспечение РД или/и за счет снижения продаж электроэнергии на РСВ (в случае превышения цены продажи над топливной составляющей):</w:t>
      </w:r>
    </w:p>
    <w:p>
      <w:pPr>
        <w:ind w:left="720"/>
        <w:jc w:val="center"/>
      </w:pPr>
      <w:r>
        <w:rPr>
          <w:position w:val="-28"/>
        </w:rPr>
        <w:object w:dxaOrig="226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4" o:spid="_x0000_s94" type="#_x0000_t75" style="width:114.05pt;height:34.55pt;mso-wrap-distance-left:0.00pt;mso-wrap-distance-top:0.00pt;mso-wrap-distance-right:0.00pt;mso-wrap-distance-bottom:0.00pt;" filled="f" stroked="f">
            <v:path textboxrect="0,0,0,0"/>
            <v:imagedata r:id="rId203" o:title=""/>
          </v:shape>
          <o:OLEObject DrawAspect="Content" r:id="rId204" ObjectID="_15250494" ProgID="Equation.3" ShapeID="_x0000_i94" Type="Embed"/>
        </w:object>
      </w:r>
      <w:r>
        <w:t xml:space="preserve">, (</w:t>
      </w:r>
      <w:r>
        <w:t xml:space="preserve">руб</w:t>
      </w:r>
      <w:r>
        <w:t xml:space="preserve">), где:</w:t>
      </w:r>
    </w:p>
    <w:p>
      <w:pPr>
        <w:numPr>
          <w:numId w:val="10"/>
          <w:ilvl w:val="0"/>
        </w:numPr>
        <w:tabs>
          <w:tab w:val="num" w:pos="1440"/>
        </w:tabs>
        <w:ind w:left="1440" w:firstLine="0"/>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5" o:spid="_x0000_s95" type="#_x0000_t75" style="width:24.55pt;height:19.55pt;mso-wrap-distance-left:0.00pt;mso-wrap-distance-top:0.00pt;mso-wrap-distance-right:0.00pt;mso-wrap-distance-bottom:0.00pt;" filled="f" stroked="f">
            <v:path textboxrect="0,0,0,0"/>
            <v:imagedata r:id="rId205" o:title=""/>
          </v:shape>
          <o:OLEObject DrawAspect="Content" r:id="rId206" ObjectID="_15250495" ProgID="Equation.3" ShapeID="_x0000_i95" Type="Embed"/>
        </w:object>
      </w:r>
      <w:r>
        <w:t xml:space="preserve"> - маржинальные потери от покупки электроэнергии на РСВ в обеспечение РД в час </w:t>
      </w: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6" o:spid="_x0000_s96" type="#_x0000_t75" style="width:2.10pt;height:10.80pt;mso-wrap-distance-left:0.00pt;mso-wrap-distance-top:0.00pt;mso-wrap-distance-right:0.00pt;mso-wrap-distance-bottom:0.00pt;" filled="f" stroked="f">
            <v:path textboxrect="0,0,0,0"/>
            <v:imagedata r:id="rId207" o:title=""/>
          </v:shape>
          <o:OLEObject DrawAspect="Content" r:id="rId208" ObjectID="_15250496" ProgID="Equation.3" ShapeID="_x0000_i96" Type="Embed"/>
        </w:object>
      </w:r>
      <w:r>
        <w:t xml:space="preserve">, </w:t>
      </w:r>
      <w:r>
        <w:t xml:space="preserve">руб</w:t>
      </w:r>
      <w:r>
        <w:t xml:space="preserve">;</w:t>
      </w:r>
    </w:p>
    <w:p>
      <w:pPr>
        <w:ind w:left="720"/>
        <w:jc w:val="center"/>
        <w:rPr>
          <w:lang w:val="en-US"/>
        </w:rPr>
      </w:pPr>
      <w:r>
        <w:rPr>
          <w:position w:val="-12"/>
        </w:rPr>
        <w:object w:dxaOrig="27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7" o:spid="_x0000_s97" type="#_x0000_t75" style="width:139.40pt;height:15.80pt;mso-wrap-distance-left:0.00pt;mso-wrap-distance-top:0.00pt;mso-wrap-distance-right:0.00pt;mso-wrap-distance-bottom:0.00pt;" filled="f" stroked="f">
            <v:path textboxrect="0,0,0,0"/>
            <v:imagedata r:id="rId209" o:title=""/>
          </v:shape>
          <o:OLEObject DrawAspect="Content" r:id="rId210" ObjectID="_15250497" ProgID="Equation.3" ShapeID="_x0000_i97" Type="Embed"/>
        </w:object>
      </w:r>
    </w:p>
    <w:p>
      <w:pPr>
        <w:numPr>
          <w:numId w:val="10"/>
          <w:ilvl w:val="0"/>
        </w:numPr>
        <w:tabs>
          <w:tab w:val="num" w:pos="1620"/>
        </w:tabs>
        <w:ind w:firstLine="360"/>
      </w:pPr>
      <w:r>
        <w:rPr>
          <w:position w:val="-12"/>
        </w:rPr>
        <w:object w:dxaOrig="49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8" o:spid="_x0000_s98" type="#_x0000_t75" style="width:24.55pt;height:19.55pt;mso-wrap-distance-left:0.00pt;mso-wrap-distance-top:0.00pt;mso-wrap-distance-right:0.00pt;mso-wrap-distance-bottom:0.00pt;" filled="f" stroked="f">
            <v:path textboxrect="0,0,0,0"/>
            <v:imagedata r:id="rId211" o:title=""/>
          </v:shape>
          <o:OLEObject DrawAspect="Content" r:id="rId212" ObjectID="_15250498" ProgID="Equation.3" ShapeID="_x0000_i98" Type="Embed"/>
        </w:object>
      </w:r>
      <w:r>
        <w:t xml:space="preserve"> - маржинальные потери от снижения продаж электроэнергии на РСВ в час </w:t>
      </w: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9" o:spid="_x0000_s99" type="#_x0000_t75" style="width:2.10pt;height:10.80pt;mso-wrap-distance-left:0.00pt;mso-wrap-distance-top:0.00pt;mso-wrap-distance-right:0.00pt;mso-wrap-distance-bottom:0.00pt;" filled="f" stroked="f">
            <v:path textboxrect="0,0,0,0"/>
            <v:imagedata r:id="rId213" o:title=""/>
          </v:shape>
          <o:OLEObject DrawAspect="Content" r:id="rId214" ObjectID="_15250499" ProgID="Equation.3" ShapeID="_x0000_i99" Type="Embed"/>
        </w:object>
      </w:r>
      <w:r>
        <w:t xml:space="preserve">, </w:t>
      </w:r>
      <w:r>
        <w:t xml:space="preserve">руб</w:t>
      </w:r>
      <w:r>
        <w:t xml:space="preserve">;</w:t>
      </w:r>
    </w:p>
    <w:p>
      <w:pPr>
        <w:ind w:left="1080"/>
      </w:pPr>
    </w:p>
    <w:p>
      <w:pPr>
        <w:ind w:left="720"/>
        <w:jc w:val="center"/>
      </w:pPr>
      <w:r>
        <w:rPr>
          <w:position w:val="-12"/>
        </w:rPr>
        <w:object w:dxaOrig="28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0" o:spid="_x0000_s100" type="#_x0000_t75" style="width:144.00pt;height:15.80pt;mso-wrap-distance-left:0.00pt;mso-wrap-distance-top:0.00pt;mso-wrap-distance-right:0.00pt;mso-wrap-distance-bottom:0.00pt;" filled="f" stroked="f">
            <v:path textboxrect="0,0,0,0"/>
            <v:imagedata r:id="rId215" o:title=""/>
          </v:shape>
          <o:OLEObject DrawAspect="Content" r:id="rId216" ObjectID="_152504100" ProgID="Equation.3" ShapeID="_x0000_i100" Type="Embed"/>
        </w:object>
      </w:r>
    </w:p>
    <w:p>
      <w:pPr>
        <w:numPr>
          <w:numId w:val="11"/>
          <w:ilvl w:val="0"/>
        </w:numPr>
        <w:jc w:val="both"/>
      </w:pPr>
      <w:r>
        <w:rPr>
          <w:position w:val="-12"/>
        </w:rPr>
        <w:object w:dxaOrig="6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1" o:spid="_x0000_s101" type="#_x0000_t75" style="width:33.70pt;height:15.80pt;mso-wrap-distance-left:0.00pt;mso-wrap-distance-top:0.00pt;mso-wrap-distance-right:0.00pt;mso-wrap-distance-bottom:0.00pt;" filled="f" stroked="f">
            <v:path textboxrect="0,0,0,0"/>
            <v:imagedata r:id="rId217" o:title=""/>
          </v:shape>
          <o:OLEObject DrawAspect="Content" r:id="rId218" ObjectID="_152504101" ProgID="Equation.3" ShapeID="_x0000_i101" Type="Embed"/>
        </w:object>
      </w:r>
      <w:r>
        <w:t xml:space="preserve"> - снижение объемов электроэнергии из-за ограничений мощности в </w:t>
      </w: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2" o:spid="_x0000_s102" type="#_x0000_t75" style="width:2.10pt;height:10.80pt;mso-wrap-distance-left:0.00pt;mso-wrap-distance-top:0.00pt;mso-wrap-distance-right:0.00pt;mso-wrap-distance-bottom:0.00pt;" filled="f" stroked="f">
            <v:path textboxrect="0,0,0,0"/>
            <v:imagedata r:id="rId219" o:title=""/>
          </v:shape>
          <o:OLEObject DrawAspect="Content" r:id="rId220" ObjectID="_152504102" ProgID="Equation.3" ShapeID="_x0000_i102" Type="Embed"/>
        </w:object>
      </w:r>
      <w:r>
        <w:t xml:space="preserve">-час, приведшее к покупке электроэнергии на РСВ в обеспечение РД, (МВт);</w:t>
      </w:r>
    </w:p>
    <w:p>
      <w:pPr>
        <w:numPr>
          <w:numId w:val="11"/>
          <w:ilvl w:val="0"/>
        </w:numPr>
        <w:jc w:val="both"/>
      </w:pPr>
      <w:r>
        <w:rPr>
          <w:position w:val="-12"/>
        </w:rPr>
        <w:object w:dxaOrig="6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3" o:spid="_x0000_s103" type="#_x0000_t75" style="width:33.70pt;height:15.80pt;mso-wrap-distance-left:0.00pt;mso-wrap-distance-top:0.00pt;mso-wrap-distance-right:0.00pt;mso-wrap-distance-bottom:0.00pt;" filled="f" stroked="f">
            <v:path textboxrect="0,0,0,0"/>
            <v:imagedata r:id="rId221" o:title=""/>
          </v:shape>
          <o:OLEObject DrawAspect="Content" r:id="rId222" ObjectID="_152504103" ProgID="Equation.3" ShapeID="_x0000_i103" Type="Embed"/>
        </w:object>
      </w:r>
      <w:r>
        <w:t xml:space="preserve"> - снижение объемов электроэнергии из-за ограничений мощности в </w:t>
      </w: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4" o:spid="_x0000_s104" type="#_x0000_t75" style="width:2.10pt;height:10.80pt;mso-wrap-distance-left:0.00pt;mso-wrap-distance-top:0.00pt;mso-wrap-distance-right:0.00pt;mso-wrap-distance-bottom:0.00pt;" filled="f" stroked="f">
            <v:path textboxrect="0,0,0,0"/>
            <v:imagedata r:id="rId223" o:title=""/>
          </v:shape>
          <o:OLEObject DrawAspect="Content" r:id="rId224" ObjectID="_152504104" ProgID="Equation.3" ShapeID="_x0000_i104" Type="Embed"/>
        </w:object>
      </w:r>
      <w:r>
        <w:t xml:space="preserve"> - час, приведшее к снижению продаж электроэнергии на РСВ, (МВт);</w:t>
      </w:r>
    </w:p>
    <w:p>
      <w:pPr>
        <w:numPr>
          <w:numId w:val="11"/>
          <w:ilvl w:val="0"/>
        </w:numPr>
        <w:jc w:val="both"/>
      </w:pPr>
      <w:r>
        <w:rPr>
          <w:position w:val="-12"/>
        </w:rPr>
        <w:object w:dxaOrig="4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5" o:spid="_x0000_s105" type="#_x0000_t75" style="width:21.65pt;height:19.55pt;mso-wrap-distance-left:0.00pt;mso-wrap-distance-top:0.00pt;mso-wrap-distance-right:0.00pt;mso-wrap-distance-bottom:0.00pt;" filled="f" stroked="f">
            <v:path textboxrect="0,0,0,0"/>
            <v:imagedata r:id="rId225" o:title=""/>
          </v:shape>
          <o:OLEObject DrawAspect="Content" r:id="rId226" ObjectID="_152504105" ProgID="Equation.3" ShapeID="_x0000_i105" Type="Embed"/>
        </w:object>
      </w:r>
      <w:r>
        <w:t xml:space="preserve"> - тариф на электроэнергию в РД, (</w:t>
      </w:r>
      <w:r>
        <w:t xml:space="preserve">руб</w:t>
      </w:r>
      <w:r>
        <w:t xml:space="preserve">/</w:t>
      </w:r>
      <w:r>
        <w:t xml:space="preserve">МВт•час</w:t>
      </w:r>
      <w:r>
        <w:t xml:space="preserve">);</w:t>
      </w:r>
    </w:p>
    <w:p>
      <w:pPr>
        <w:numPr>
          <w:numId w:val="11"/>
          <w:ilvl w:val="0"/>
        </w:numPr>
        <w:jc w:val="both"/>
      </w:pPr>
      <w:r>
        <w:rPr>
          <w:position w:val="-12"/>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6" o:spid="_x0000_s106" type="#_x0000_t75" style="width:24.55pt;height:19.55pt;mso-wrap-distance-left:0.00pt;mso-wrap-distance-top:0.00pt;mso-wrap-distance-right:0.00pt;mso-wrap-distance-bottom:0.00pt;" filled="f" stroked="f">
            <v:path textboxrect="0,0,0,0"/>
            <v:imagedata r:id="rId227" o:title=""/>
          </v:shape>
          <o:OLEObject DrawAspect="Content" r:id="rId228" ObjectID="_152504106" ProgID="Equation.3" ShapeID="_x0000_i106" Type="Embed"/>
        </w:object>
      </w:r>
      <w:r>
        <w:t xml:space="preserve"> - фактическая топливная составляющая, рассчитываемая на каждый час суток отчетного месяца, (</w:t>
      </w:r>
      <w:r>
        <w:t xml:space="preserve">руб</w:t>
      </w:r>
      <w:r>
        <w:t xml:space="preserve">/</w:t>
      </w:r>
      <w:r>
        <w:t xml:space="preserve">МВт•час</w:t>
      </w:r>
      <w:r>
        <w:t xml:space="preserve">);</w:t>
      </w:r>
    </w:p>
    <w:p>
      <w:pPr>
        <w:numPr>
          <w:numId w:val="11"/>
          <w:ilvl w:val="0"/>
        </w:numPr>
        <w:jc w:val="both"/>
      </w:pPr>
      <w:r>
        <w:rPr>
          <w:position w:val="-12"/>
        </w:rPr>
        <w:object w:dxaOrig="6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7" o:spid="_x0000_s107" type="#_x0000_t75" style="width:29.95pt;height:15.80pt;mso-wrap-distance-left:0.00pt;mso-wrap-distance-top:0.00pt;mso-wrap-distance-right:0.00pt;mso-wrap-distance-bottom:0.00pt;" filled="f" stroked="f">
            <v:path textboxrect="0,0,0,0"/>
            <v:imagedata r:id="rId229" o:title=""/>
          </v:shape>
          <o:OLEObject DrawAspect="Content" r:id="rId230" ObjectID="_152504107" ProgID="Equation.3" ShapeID="_x0000_i107" Type="Embed"/>
        </w:object>
      </w:r>
      <w:r>
        <w:t xml:space="preserve">,</w:t>
      </w:r>
      <w:r>
        <w:rPr>
          <w:position w:val="-12"/>
        </w:rPr>
        <w:object w:dxaOrig="5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8" o:spid="_x0000_s108" type="#_x0000_t75" style="width:29.95pt;height:15.80pt;mso-wrap-distance-left:0.00pt;mso-wrap-distance-top:0.00pt;mso-wrap-distance-right:0.00pt;mso-wrap-distance-bottom:0.00pt;" filled="f" stroked="f">
            <v:path textboxrect="0,0,0,0"/>
            <v:imagedata r:id="rId231" o:title=""/>
          </v:shape>
          <o:OLEObject DrawAspect="Content" r:id="rId232" ObjectID="_152504108" ProgID="Equation.3" ShapeID="_x0000_i108" Type="Embed"/>
        </w:object>
      </w:r>
      <w:r>
        <w:t xml:space="preserve"> - цена покупки и продажи в ГТП на РСВ в час </w:t>
      </w:r>
      <w:r>
        <w:rPr>
          <w:position w:val="-6"/>
        </w:rPr>
        <w:object w:dxaOrig="139"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9" o:spid="_x0000_s109" type="#_x0000_t75" style="width:2.10pt;height:10.80pt;mso-wrap-distance-left:0.00pt;mso-wrap-distance-top:0.00pt;mso-wrap-distance-right:0.00pt;mso-wrap-distance-bottom:0.00pt;" filled="f" stroked="f">
            <v:path textboxrect="0,0,0,0"/>
            <v:imagedata r:id="rId233" o:title=""/>
          </v:shape>
          <o:OLEObject DrawAspect="Content" r:id="rId234" ObjectID="_152504109" ProgID="Equation.3" ShapeID="_x0000_i109" Type="Embed"/>
        </w:object>
      </w:r>
      <w:r>
        <w:t xml:space="preserve">, (</w:t>
      </w:r>
      <w:r>
        <w:t xml:space="preserve">руб</w:t>
      </w:r>
      <w:r>
        <w:t xml:space="preserve">/</w:t>
      </w:r>
      <w:r>
        <w:t xml:space="preserve">МВт•час</w:t>
      </w:r>
      <w:r>
        <w:t xml:space="preserve">);</w:t>
      </w:r>
    </w:p>
    <w:p/>
    <w:p>
      <w:pPr>
        <w:pStyle w:val="1"/>
        <w:numPr>
          <w:numId w:val="13"/>
          <w:ilvl w:val="2"/>
        </w:numPr>
        <w:tabs>
          <w:tab w:val="clear" w:pos="720"/>
          <w:tab w:val="num" w:pos="567"/>
          <w:tab w:val="left" w:pos="1134"/>
        </w:tabs>
        <w:ind w:left="284" w:firstLine="0"/>
        <w:rPr>
          <w:b w:val="0"/>
          <w:bCs w:val="0"/>
        </w:rPr>
      </w:pPr>
      <w:bookmarkStart w:id="175" w:name="_Toc309304231"/>
      <w:bookmarkStart w:id="176" w:name="_Toc488848719"/>
      <w:bookmarkStart w:id="177" w:name="_Toc490640173"/>
      <w:bookmarkStart w:id="178" w:name="_Toc490640202"/>
      <w:bookmarkStart w:id="179" w:name="_Toc10707089"/>
      <w:r>
        <w:rPr>
          <w:b w:val="0"/>
          <w:bCs w:val="0"/>
        </w:rPr>
        <w:t xml:space="preserve">Упущенная выгода от недовыработки тепловой энергии </w:t>
      </w:r>
      <w:r>
        <w:rPr>
          <w:b w:val="0"/>
          <w:bCs w:val="0"/>
          <w:i/>
        </w:rPr>
        <w:t xml:space="preserve">(</w:t>
      </w:r>
      <w:r>
        <w:rPr>
          <w:b w:val="0"/>
          <w:bCs w:val="0"/>
          <w:i/>
          <w:lang w:val="en-US"/>
        </w:rPr>
        <w:t xml:space="preserve">W</w:t>
      </w:r>
      <w:r>
        <w:rPr>
          <w:b w:val="0"/>
          <w:bCs w:val="0"/>
          <w:i/>
          <w:vertAlign w:val="subscript"/>
        </w:rPr>
        <w:t xml:space="preserve">ТМ</w:t>
      </w:r>
      <w:r>
        <w:rPr>
          <w:b w:val="0"/>
          <w:bCs w:val="0"/>
          <w:i/>
        </w:rPr>
        <w:t xml:space="preserve">)</w:t>
      </w:r>
      <w:r>
        <w:rPr>
          <w:b w:val="0"/>
          <w:bCs w:val="0"/>
        </w:rPr>
        <w:t xml:space="preserve">.</w:t>
      </w:r>
      <w:bookmarkEnd w:id="175"/>
      <w:bookmarkEnd w:id="176"/>
      <w:bookmarkEnd w:id="177"/>
      <w:bookmarkEnd w:id="178"/>
      <w:bookmarkEnd w:id="179"/>
    </w:p>
    <w:p>
      <w:pPr>
        <w:tabs>
          <w:tab w:val="num" w:pos="567"/>
          <w:tab w:val="left" w:pos="1134"/>
        </w:tabs>
        <w:ind w:left="284"/>
      </w:pPr>
      <w:r>
        <w:t xml:space="preserve">Возникает при </w:t>
      </w:r>
      <w:r>
        <w:t xml:space="preserve">недоотпуске</w:t>
      </w:r>
      <w:r>
        <w:t xml:space="preserve"> тепловой энергии при отсутствии или недостаточности резерва по тепловой мощности:</w:t>
      </w:r>
    </w:p>
    <w:p>
      <w:pPr>
        <w:ind w:left="720"/>
        <w:jc w:val="center"/>
      </w:pPr>
      <w:r>
        <w:rPr>
          <w:position w:val="-12"/>
        </w:rPr>
        <w:object w:dxaOrig="29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0" o:spid="_x0000_s110" type="#_x0000_t75" style="width:144.00pt;height:19.55pt;mso-wrap-distance-left:0.00pt;mso-wrap-distance-top:0.00pt;mso-wrap-distance-right:0.00pt;mso-wrap-distance-bottom:0.00pt;" filled="f" stroked="f">
            <v:path textboxrect="0,0,0,0"/>
            <v:imagedata r:id="rId235" o:title=""/>
          </v:shape>
          <o:OLEObject DrawAspect="Content" r:id="rId236" ObjectID="_152504110" ProgID="Equation.3" ShapeID="_x0000_i110" Type="Embed"/>
        </w:object>
      </w:r>
      <w:r>
        <w:t xml:space="preserve">, (</w:t>
      </w:r>
      <w:r>
        <w:t xml:space="preserve">руб</w:t>
      </w:r>
      <w:r>
        <w:t xml:space="preserve">), где:</w:t>
      </w:r>
    </w:p>
    <w:p>
      <w:pPr>
        <w:numPr>
          <w:numId w:val="10"/>
          <w:ilvl w:val="0"/>
        </w:numPr>
        <w:tabs>
          <w:tab w:val="num" w:pos="1800"/>
        </w:tabs>
        <w:ind w:left="1800"/>
      </w:pPr>
      <w:r>
        <w:rPr>
          <w:position w:val="-12"/>
        </w:rPr>
        <w:object w:dxaOrig="6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1" o:spid="_x0000_s111" type="#_x0000_t75" style="width:34.55pt;height:19.55pt;mso-wrap-distance-left:0.00pt;mso-wrap-distance-top:0.00pt;mso-wrap-distance-right:0.00pt;mso-wrap-distance-bottom:0.00pt;" filled="f" stroked="f">
            <v:path textboxrect="0,0,0,0"/>
            <v:imagedata r:id="rId237" o:title=""/>
          </v:shape>
          <o:OLEObject DrawAspect="Content" r:id="rId238" ObjectID="_152504111" ProgID="Equation.3" ShapeID="_x0000_i111" Type="Embed"/>
        </w:object>
      </w:r>
      <w:r>
        <w:t xml:space="preserve"> - снижение объемов отпущенной теплоэнергии из-за ограничений мощности, (Гкал);</w:t>
      </w:r>
    </w:p>
    <w:p>
      <w:pPr>
        <w:numPr>
          <w:numId w:val="10"/>
          <w:ilvl w:val="0"/>
        </w:numPr>
        <w:tabs>
          <w:tab w:val="num" w:pos="1800"/>
        </w:tabs>
        <w:ind w:left="1800"/>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2" o:spid="_x0000_s112" type="#_x0000_t75" style="width:24.55pt;height:19.55pt;mso-wrap-distance-left:0.00pt;mso-wrap-distance-top:0.00pt;mso-wrap-distance-right:0.00pt;mso-wrap-distance-bottom:0.00pt;" filled="f" stroked="f">
            <v:path textboxrect="0,0,0,0"/>
            <v:imagedata r:id="rId239" o:title=""/>
          </v:shape>
          <o:OLEObject DrawAspect="Content" r:id="rId240" ObjectID="_152504112" ProgID="Equation.3" ShapeID="_x0000_i112" Type="Embed"/>
        </w:object>
      </w:r>
      <w:r>
        <w:t xml:space="preserve"> - тариф на тепловую энергию, (</w:t>
      </w:r>
      <w:r>
        <w:t xml:space="preserve">руб</w:t>
      </w:r>
      <w:r>
        <w:t xml:space="preserve">/Гкал);</w:t>
      </w:r>
    </w:p>
    <w:p>
      <w:pPr>
        <w:numPr>
          <w:numId w:val="10"/>
          <w:ilvl w:val="0"/>
        </w:numPr>
        <w:tabs>
          <w:tab w:val="num" w:pos="1800"/>
        </w:tabs>
        <w:ind w:left="1800"/>
      </w:pPr>
      <w:r>
        <w:rPr>
          <w:position w:val="-12"/>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3" o:spid="_x0000_s113" type="#_x0000_t75" style="width:24.55pt;height:19.55pt;mso-wrap-distance-left:0.00pt;mso-wrap-distance-top:0.00pt;mso-wrap-distance-right:0.00pt;mso-wrap-distance-bottom:0.00pt;" filled="f" stroked="f">
            <v:path textboxrect="0,0,0,0"/>
            <v:imagedata r:id="rId241" o:title=""/>
          </v:shape>
          <o:OLEObject DrawAspect="Content" r:id="rId242" ObjectID="_152504113" ProgID="Equation.3" ShapeID="_x0000_i113" Type="Embed"/>
        </w:object>
      </w:r>
      <w:r>
        <w:t xml:space="preserve"> - фактическая топливная составляющая, (</w:t>
      </w:r>
      <w:r>
        <w:t xml:space="preserve">руб</w:t>
      </w:r>
      <w:r>
        <w:t xml:space="preserve">/Гкал);</w:t>
      </w:r>
    </w:p>
    <w:p/>
    <w:p>
      <w:pPr>
        <w:pStyle w:val="1"/>
        <w:numPr>
          <w:numId w:val="13"/>
          <w:ilvl w:val="2"/>
        </w:numPr>
        <w:tabs>
          <w:tab w:val="clear" w:pos="720"/>
          <w:tab w:val="num" w:pos="567"/>
          <w:tab w:val="left" w:pos="1134"/>
        </w:tabs>
        <w:ind w:left="284" w:firstLine="0"/>
        <w:rPr>
          <w:b w:val="0"/>
          <w:bCs w:val="0"/>
        </w:rPr>
      </w:pPr>
      <w:bookmarkStart w:id="180" w:name="_Toc309304232"/>
      <w:bookmarkStart w:id="181" w:name="_Toc488848720"/>
      <w:bookmarkStart w:id="182" w:name="_Toc490640174"/>
      <w:bookmarkStart w:id="183" w:name="_Toc490640203"/>
      <w:bookmarkStart w:id="184" w:name="_Toc10707090"/>
      <w:r>
        <w:rPr>
          <w:b w:val="0"/>
          <w:bCs w:val="0"/>
        </w:rPr>
        <w:t xml:space="preserve">Упущенная выгода при отключениях для устранения повреждений на тепловых сетях (</w:t>
      </w:r>
      <w:r>
        <w:rPr>
          <w:b w:val="0"/>
          <w:bCs w:val="0"/>
          <w:i/>
          <w:lang w:val="en-US"/>
        </w:rPr>
        <w:t xml:space="preserve">W</w:t>
      </w:r>
      <w:r>
        <w:rPr>
          <w:b w:val="0"/>
          <w:bCs w:val="0"/>
          <w:i/>
          <w:vertAlign w:val="subscript"/>
        </w:rPr>
        <w:t xml:space="preserve">ТС</w:t>
      </w:r>
      <w:r>
        <w:rPr>
          <w:b w:val="0"/>
          <w:bCs w:val="0"/>
        </w:rPr>
        <w:t xml:space="preserve">) </w:t>
      </w:r>
      <w:bookmarkEnd w:id="180"/>
      <w:r>
        <w:rPr>
          <w:b w:val="0"/>
          <w:bCs w:val="0"/>
        </w:rPr>
        <w:t xml:space="preserve">.</w:t>
      </w:r>
      <w:bookmarkEnd w:id="181"/>
      <w:bookmarkEnd w:id="182"/>
      <w:bookmarkEnd w:id="183"/>
      <w:bookmarkEnd w:id="184"/>
    </w:p>
    <w:p>
      <w:pPr>
        <w:pStyle w:val="BodyTextIndent21"/>
        <w:spacing w:line="240" w:lineRule="auto"/>
        <w:jc w:val="center"/>
        <w:rPr>
          <w:rFonts w:ascii="Times New Roman" w:hAnsi="Times New Roman"/>
          <w:sz w:val="24"/>
          <w:szCs w:val="24"/>
        </w:rPr>
      </w:pPr>
      <w:r>
        <w:rPr>
          <w:rFonts w:ascii="Times New Roman" w:hAnsi="Times New Roman"/>
          <w:position w:val="-12"/>
          <w:sz w:val="24"/>
          <w:szCs w:val="24"/>
        </w:rPr>
        <w:object w:dxaOrig="2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4" o:spid="_x0000_s114" type="#_x0000_t75" style="width:116.10pt;height:19.55pt;mso-wrap-distance-left:0.00pt;mso-wrap-distance-top:0.00pt;mso-wrap-distance-right:0.00pt;mso-wrap-distance-bottom:0.00pt;" filled="f" stroked="f">
            <v:path textboxrect="0,0,0,0"/>
            <v:imagedata r:id="rId243" o:title=""/>
          </v:shape>
          <o:OLEObject DrawAspect="Content" r:id="rId244" ObjectID="_152504114" ProgID="Equation.3" ShapeID="_x0000_i114" Type="Embed"/>
        </w:object>
      </w:r>
      <w:r>
        <w:rPr>
          <w:rFonts w:ascii="Times New Roman" w:hAnsi="Times New Roman"/>
          <w:sz w:val="24"/>
          <w:szCs w:val="24"/>
        </w:rPr>
        <w:t xml:space="preserve">, (</w:t>
      </w:r>
      <w:r>
        <w:rPr>
          <w:rFonts w:ascii="Times New Roman" w:hAnsi="Times New Roman"/>
          <w:sz w:val="24"/>
          <w:szCs w:val="24"/>
        </w:rPr>
        <w:t xml:space="preserve">руб</w:t>
      </w:r>
      <w:r>
        <w:rPr>
          <w:rFonts w:ascii="Times New Roman" w:hAnsi="Times New Roman"/>
          <w:sz w:val="24"/>
          <w:szCs w:val="24"/>
        </w:rPr>
        <w:t xml:space="preserve">), где:</w:t>
      </w:r>
    </w:p>
    <w:p>
      <w:pPr>
        <w:numPr>
          <w:numId w:val="10"/>
          <w:ilvl w:val="0"/>
        </w:numPr>
        <w:ind w:left="1800" w:hanging="720"/>
      </w:pPr>
      <w:r>
        <w:rPr>
          <w:position w:val="-12"/>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5" o:spid="_x0000_s115" type="#_x0000_t75" style="width:24.55pt;height:19.55pt;mso-wrap-distance-left:0.00pt;mso-wrap-distance-top:0.00pt;mso-wrap-distance-right:0.00pt;mso-wrap-distance-bottom:0.00pt;" filled="f" stroked="f">
            <v:path textboxrect="0,0,0,0"/>
            <v:imagedata r:id="rId245" o:title=""/>
          </v:shape>
          <o:OLEObject DrawAspect="Content" r:id="rId246" ObjectID="_152504115" ProgID="Equation.3" ShapeID="_x0000_i115" Type="Embed"/>
        </w:object>
      </w:r>
      <w:r>
        <w:t xml:space="preserve"> - </w:t>
      </w:r>
      <w:r>
        <w:rPr>
          <w:bCs/>
        </w:rPr>
        <w:t xml:space="preserve">недоотпуск</w:t>
      </w:r>
      <w:r>
        <w:rPr>
          <w:bCs/>
        </w:rPr>
        <w:t xml:space="preserve"> тепловой энергии и теплоносителя при отключениях для устранения повреждений на тепловых сетях</w:t>
      </w:r>
      <w:r>
        <w:t xml:space="preserve">, (Гкал);</w:t>
      </w:r>
    </w:p>
    <w:p>
      <w:pPr>
        <w:numPr>
          <w:numId w:val="10"/>
          <w:ilvl w:val="0"/>
        </w:numPr>
        <w:ind w:left="1800" w:hanging="720"/>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6" o:spid="_x0000_s116" type="#_x0000_t75" style="width:24.55pt;height:19.55pt;mso-wrap-distance-left:0.00pt;mso-wrap-distance-top:0.00pt;mso-wrap-distance-right:0.00pt;mso-wrap-distance-bottom:0.00pt;" filled="f" stroked="f">
            <v:path textboxrect="0,0,0,0"/>
            <v:imagedata r:id="rId247" o:title=""/>
          </v:shape>
          <o:OLEObject DrawAspect="Content" r:id="rId248" ObjectID="_152504116" ProgID="Equation.3" ShapeID="_x0000_i116" Type="Embed"/>
        </w:object>
      </w:r>
      <w:r>
        <w:t xml:space="preserve"> - тариф на тепловую энергию, (</w:t>
      </w:r>
      <w:r>
        <w:t xml:space="preserve">руб</w:t>
      </w:r>
      <w:r>
        <w:t xml:space="preserve">/Гкал);</w:t>
      </w:r>
    </w:p>
    <w:p>
      <w:pPr>
        <w:numPr>
          <w:numId w:val="10"/>
          <w:ilvl w:val="0"/>
        </w:numPr>
        <w:ind w:left="1800" w:hanging="720"/>
      </w:pPr>
      <w:r>
        <w:rPr>
          <w:position w:val="-12"/>
        </w:rPr>
        <w:object w:dxaOrig="4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7" o:spid="_x0000_s117" type="#_x0000_t75" style="width:21.65pt;height:19.55pt;mso-wrap-distance-left:0.00pt;mso-wrap-distance-top:0.00pt;mso-wrap-distance-right:0.00pt;mso-wrap-distance-bottom:0.00pt;" filled="f" stroked="f">
            <v:path textboxrect="0,0,0,0"/>
            <v:imagedata r:id="rId249" o:title=""/>
          </v:shape>
          <o:OLEObject DrawAspect="Content" r:id="rId250" ObjectID="_152504117" ProgID="Equation.3" ShapeID="_x0000_i117" Type="Embed"/>
        </w:object>
      </w:r>
      <w:r>
        <w:t xml:space="preserve"> - стоимость потерь сетевой воды, (</w:t>
      </w:r>
      <w:r>
        <w:t xml:space="preserve">руб</w:t>
      </w:r>
      <w:r>
        <w:t xml:space="preserve">);</w:t>
      </w:r>
    </w:p>
    <w:p>
      <w:pPr>
        <w:jc w:val="center"/>
      </w:pPr>
      <w:r>
        <w:rPr>
          <w:position w:val="-14"/>
        </w:rPr>
        <w:object w:dxaOrig="310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8" o:spid="_x0000_s118" type="#_x0000_t75" style="width:156.05pt;height:21.65pt;mso-wrap-distance-left:0.00pt;mso-wrap-distance-top:0.00pt;mso-wrap-distance-right:0.00pt;mso-wrap-distance-bottom:0.00pt;" filled="f" stroked="f">
            <v:path textboxrect="0,0,0,0"/>
            <v:imagedata r:id="rId251" o:title=""/>
          </v:shape>
          <o:OLEObject DrawAspect="Content" r:id="rId252" ObjectID="_152504118" ProgID="Equation.3" ShapeID="_x0000_i118" Type="Embed"/>
        </w:object>
      </w:r>
      <w:r>
        <w:t xml:space="preserve">, где:</w:t>
      </w:r>
    </w:p>
    <w:p>
      <w:pPr>
        <w:jc w:val="center"/>
      </w:pPr>
    </w:p>
    <w:p>
      <w:pPr>
        <w:numPr>
          <w:numId w:val="10"/>
          <w:ilvl w:val="0"/>
        </w:numPr>
        <w:ind w:firstLine="0"/>
      </w:pPr>
      <w:r>
        <w:rPr>
          <w:position w:val="-12"/>
        </w:rPr>
        <w:object w:dxaOrig="4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9" o:spid="_x0000_s119" type="#_x0000_t75" style="width:24.55pt;height:19.55pt;mso-wrap-distance-left:0.00pt;mso-wrap-distance-top:0.00pt;mso-wrap-distance-right:0.00pt;mso-wrap-distance-bottom:0.00pt;" filled="f" stroked="f">
            <v:path textboxrect="0,0,0,0"/>
            <v:imagedata r:id="rId253" o:title=""/>
          </v:shape>
          <o:OLEObject DrawAspect="Content" r:id="rId254" ObjectID="_152504119" ProgID="Equation.3" ShapeID="_x0000_i119" Type="Embed"/>
        </w:object>
      </w:r>
      <w:r>
        <w:t xml:space="preserve"> - </w:t>
      </w:r>
      <w:r>
        <w:t xml:space="preserve">недоотпуск</w:t>
      </w:r>
      <w:r>
        <w:t xml:space="preserve"> при отключении или ограничении теплоснабжения от отопительной нагрузки суммарно на отключенном участке, (Гкал);</w:t>
      </w:r>
    </w:p>
    <w:p>
      <w:pPr>
        <w:ind w:left="720"/>
        <w:jc w:val="center"/>
      </w:pPr>
      <w:r>
        <w:rPr>
          <w:position w:val="-32"/>
        </w:rPr>
        <w:object w:dxaOrig="342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0" o:spid="_x0000_s120" type="#_x0000_t75" style="width:168.95pt;height:37.45pt;mso-wrap-distance-left:0.00pt;mso-wrap-distance-top:0.00pt;mso-wrap-distance-right:0.00pt;mso-wrap-distance-bottom:0.00pt;" filled="f" stroked="f">
            <v:path textboxrect="0,0,0,0"/>
            <v:imagedata r:id="rId255" o:title=""/>
          </v:shape>
          <o:OLEObject DrawAspect="Content" r:id="rId256" ObjectID="_152504120" ProgID="Equation.3" ShapeID="_x0000_i120" Type="Embed"/>
        </w:object>
      </w:r>
      <w:r>
        <w:t xml:space="preserve">, где:</w:t>
      </w:r>
    </w:p>
    <w:p>
      <w:pPr>
        <w:numPr>
          <w:numId w:val="10"/>
          <w:ilvl w:val="0"/>
        </w:numPr>
        <w:ind w:firstLine="360"/>
      </w:pPr>
      <w:r>
        <w:rPr>
          <w:position w:val="-12"/>
        </w:rPr>
        <w:object w:dxaOrig="4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1" o:spid="_x0000_s121" type="#_x0000_t75" style="width:21.65pt;height:19.55pt;mso-wrap-distance-left:0.00pt;mso-wrap-distance-top:0.00pt;mso-wrap-distance-right:0.00pt;mso-wrap-distance-bottom:0.00pt;" filled="f" stroked="f">
            <v:path textboxrect="0,0,0,0"/>
            <v:imagedata r:id="rId257" o:title=""/>
          </v:shape>
          <o:OLEObject DrawAspect="Content" r:id="rId258" ObjectID="_152504121" ProgID="Equation.3" ShapeID="_x0000_i121" Type="Embed"/>
        </w:object>
      </w:r>
      <w:r>
        <w:t xml:space="preserve"> - объем отключаемой или снижаемой отопительной нагрузки (Гкал/час);</w:t>
      </w:r>
    </w:p>
    <w:p>
      <w:pPr>
        <w:numPr>
          <w:numId w:val="10"/>
          <w:ilvl w:val="0"/>
        </w:numPr>
        <w:ind w:firstLine="360"/>
      </w:pPr>
      <w:r>
        <w:rPr>
          <w:position w:val="-14"/>
        </w:rPr>
        <w:object w:dxaOrig="8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2" o:spid="_x0000_s122" type="#_x0000_t75" style="width:37.45pt;height:15.80pt;mso-wrap-distance-left:0.00pt;mso-wrap-distance-top:0.00pt;mso-wrap-distance-right:0.00pt;mso-wrap-distance-bottom:0.00pt;" filled="f" stroked="f">
            <v:path textboxrect="0,0,0,0"/>
            <v:imagedata r:id="rId259" o:title=""/>
          </v:shape>
          <o:OLEObject DrawAspect="Content" r:id="rId260" ObjectID="_152504122" ProgID="Equation.3" ShapeID="_x0000_i122" Type="Embed"/>
        </w:object>
      </w:r>
      <w:r>
        <w:t xml:space="preserve"> - продолжительность отключения отопительной нагрузки, (час);</w:t>
      </w:r>
    </w:p>
    <w:p>
      <w:pPr>
        <w:numPr>
          <w:numId w:val="10"/>
          <w:ilvl w:val="0"/>
        </w:numPr>
        <w:ind w:firstLine="360"/>
      </w:pPr>
      <w:r>
        <w:rPr>
          <w:position w:val="-14"/>
        </w:rPr>
        <w:object w:dxaOrig="44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3" o:spid="_x0000_s123" type="#_x0000_t75" style="width:21.65pt;height:15.80pt;mso-wrap-distance-left:0.00pt;mso-wrap-distance-top:0.00pt;mso-wrap-distance-right:0.00pt;mso-wrap-distance-bottom:0.00pt;" filled="f" stroked="f">
            <v:path textboxrect="0,0,0,0"/>
            <v:imagedata r:id="rId261" o:title=""/>
          </v:shape>
          <o:OLEObject DrawAspect="Content" r:id="rId262" ObjectID="_152504123" ProgID="Equation.3" ShapeID="_x0000_i123" Type="Embed"/>
        </w:object>
      </w:r>
      <w:r>
        <w:t xml:space="preserve"> - расчетная температура внутри помещения для отопительной нагрузки (принимается равной +18°С);</w:t>
      </w:r>
    </w:p>
    <w:p>
      <w:pPr>
        <w:numPr>
          <w:numId w:val="10"/>
          <w:ilvl w:val="0"/>
        </w:numPr>
        <w:ind w:firstLine="360"/>
      </w:pPr>
      <w:r>
        <w:rPr>
          <w:position w:val="-14"/>
        </w:rPr>
        <w:object w:dxaOrig="4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4" o:spid="_x0000_s124" type="#_x0000_t75" style="width:24.55pt;height:15.80pt;mso-wrap-distance-left:0.00pt;mso-wrap-distance-top:0.00pt;mso-wrap-distance-right:0.00pt;mso-wrap-distance-bottom:0.00pt;" filled="f" stroked="f">
            <v:path textboxrect="0,0,0,0"/>
            <v:imagedata r:id="rId263" o:title=""/>
          </v:shape>
          <o:OLEObject DrawAspect="Content" r:id="rId264" ObjectID="_152504124" ProgID="Equation.3" ShapeID="_x0000_i124" Type="Embed"/>
        </w:object>
      </w:r>
      <w:r>
        <w:t xml:space="preserve"> - фактическая температура наружного воздуха в период отключения, (°С);</w:t>
      </w:r>
    </w:p>
    <w:p>
      <w:pPr>
        <w:numPr>
          <w:numId w:val="10"/>
          <w:ilvl w:val="0"/>
        </w:numPr>
        <w:ind w:firstLine="360"/>
      </w:pPr>
      <w:r>
        <w:rPr>
          <w:position w:val="-14"/>
        </w:rPr>
        <w:object w:dxaOrig="4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5" o:spid="_x0000_s125" type="#_x0000_t75" style="width:24.55pt;height:15.80pt;mso-wrap-distance-left:0.00pt;mso-wrap-distance-top:0.00pt;mso-wrap-distance-right:0.00pt;mso-wrap-distance-bottom:0.00pt;" filled="f" stroked="f">
            <v:path textboxrect="0,0,0,0"/>
            <v:imagedata r:id="rId265" o:title=""/>
          </v:shape>
          <o:OLEObject DrawAspect="Content" r:id="rId266" ObjectID="_152504125" ProgID="Equation.3" ShapeID="_x0000_i125" Type="Embed"/>
        </w:object>
      </w:r>
      <w:r>
        <w:t xml:space="preserve"> - расчетная температура наружного воздуха для отопительной нагрузки (принимается согласно СНИП), (°С).</w:t>
      </w:r>
    </w:p>
    <w:p>
      <w:pPr>
        <w:ind w:left="1080"/>
      </w:pPr>
    </w:p>
    <w:p>
      <w:pPr>
        <w:numPr>
          <w:numId w:val="10"/>
          <w:ilvl w:val="0"/>
        </w:numPr>
        <w:ind w:firstLine="0"/>
      </w:pPr>
      <w:r>
        <w:rPr>
          <w:position w:val="-12"/>
        </w:rPr>
        <w:object w:dxaOrig="5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6" o:spid="_x0000_s126" type="#_x0000_t75" style="width:29.95pt;height:19.55pt;mso-wrap-distance-left:0.00pt;mso-wrap-distance-top:0.00pt;mso-wrap-distance-right:0.00pt;mso-wrap-distance-bottom:0.00pt;" filled="f" stroked="f">
            <v:path textboxrect="0,0,0,0"/>
            <v:imagedata r:id="rId267" o:title=""/>
          </v:shape>
          <o:OLEObject DrawAspect="Content" r:id="rId268" ObjectID="_152504126" ProgID="Equation.3" ShapeID="_x0000_i126" Type="Embed"/>
        </w:object>
      </w:r>
      <w:r>
        <w:t xml:space="preserve"> - </w:t>
      </w:r>
      <w:r>
        <w:t xml:space="preserve">недоотпуск</w:t>
      </w:r>
      <w:r>
        <w:t xml:space="preserve"> при отключении или ограничении теплоснабжения от вентиляционной нагрузки суммарно на отключенном участке, (Гкал);</w:t>
      </w:r>
    </w:p>
    <w:p>
      <w:pPr>
        <w:ind w:left="1080"/>
      </w:pPr>
    </w:p>
    <w:p>
      <w:pPr>
        <w:ind w:left="720"/>
        <w:jc w:val="center"/>
      </w:pPr>
      <w:r>
        <w:rPr>
          <w:position w:val="-32"/>
        </w:rPr>
        <w:object w:dxaOrig="380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7" o:spid="_x0000_s127" type="#_x0000_t75" style="width:188.10pt;height:37.45pt;mso-wrap-distance-left:0.00pt;mso-wrap-distance-top:0.00pt;mso-wrap-distance-right:0.00pt;mso-wrap-distance-bottom:0.00pt;" filled="f" stroked="f">
            <v:path textboxrect="0,0,0,0"/>
            <v:imagedata r:id="rId269" o:title=""/>
          </v:shape>
          <o:OLEObject DrawAspect="Content" r:id="rId270" ObjectID="_152504127" ProgID="Equation.3" ShapeID="_x0000_i127" Type="Embed"/>
        </w:object>
      </w:r>
      <w:r>
        <w:t xml:space="preserve">, где:</w:t>
      </w:r>
    </w:p>
    <w:p>
      <w:pPr>
        <w:numPr>
          <w:numId w:val="10"/>
          <w:ilvl w:val="0"/>
        </w:numPr>
        <w:ind w:firstLine="360"/>
      </w:pPr>
      <w:r>
        <w:rPr>
          <w:position w:val="-12"/>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8" o:spid="_x0000_s128" type="#_x0000_t75" style="width:24.55pt;height:19.55pt;mso-wrap-distance-left:0.00pt;mso-wrap-distance-top:0.00pt;mso-wrap-distance-right:0.00pt;mso-wrap-distance-bottom:0.00pt;" filled="f" stroked="f">
            <v:path textboxrect="0,0,0,0"/>
            <v:imagedata r:id="rId271" o:title=""/>
          </v:shape>
          <o:OLEObject DrawAspect="Content" r:id="rId272" ObjectID="_152504128" ProgID="Equation.3" ShapeID="_x0000_i128" Type="Embed"/>
        </w:object>
      </w:r>
      <w:r>
        <w:t xml:space="preserve"> - объем отключаемой или снижаемой вентиляционной нагрузки, (Гкал/час);</w:t>
      </w:r>
    </w:p>
    <w:p>
      <w:pPr>
        <w:numPr>
          <w:numId w:val="10"/>
          <w:ilvl w:val="0"/>
        </w:numPr>
        <w:ind w:firstLine="360"/>
      </w:pPr>
      <w:r>
        <w:rPr>
          <w:position w:val="-14"/>
        </w:rPr>
        <w:object w:dxaOrig="8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9" o:spid="_x0000_s129" type="#_x0000_t75" style="width:37.45pt;height:15.80pt;mso-wrap-distance-left:0.00pt;mso-wrap-distance-top:0.00pt;mso-wrap-distance-right:0.00pt;mso-wrap-distance-bottom:0.00pt;" filled="f" stroked="f">
            <v:path textboxrect="0,0,0,0"/>
            <v:imagedata r:id="rId273" o:title=""/>
          </v:shape>
          <o:OLEObject DrawAspect="Content" r:id="rId274" ObjectID="_152504129" ProgID="Equation.3" ShapeID="_x0000_i129" Type="Embed"/>
        </w:object>
      </w:r>
      <w:r>
        <w:t xml:space="preserve"> - продолжительность отключения вентиляционной нагрузки, (час);</w:t>
      </w:r>
    </w:p>
    <w:p>
      <w:pPr>
        <w:numPr>
          <w:numId w:val="10"/>
          <w:ilvl w:val="0"/>
        </w:numPr>
        <w:ind w:firstLine="360"/>
        <w:jc w:val="both"/>
      </w:pPr>
      <w:r>
        <w:rPr>
          <w:position w:val="-14"/>
        </w:rPr>
        <w:object w:dxaOrig="44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0" o:spid="_x0000_s130" type="#_x0000_t75" style="width:21.65pt;height:15.80pt;mso-wrap-distance-left:0.00pt;mso-wrap-distance-top:0.00pt;mso-wrap-distance-right:0.00pt;mso-wrap-distance-bottom:0.00pt;" filled="f" stroked="f">
            <v:path textboxrect="0,0,0,0"/>
            <v:imagedata r:id="rId275" o:title=""/>
          </v:shape>
          <o:OLEObject DrawAspect="Content" r:id="rId276" ObjectID="_152504130" ProgID="Equation.3" ShapeID="_x0000_i130" Type="Embed"/>
        </w:object>
      </w:r>
      <w:r>
        <w:t xml:space="preserve"> - расчетная температура внутри помещения для вентиляционной нагрузки (принимается равной +16°С);</w:t>
      </w:r>
    </w:p>
    <w:p>
      <w:pPr>
        <w:numPr>
          <w:numId w:val="10"/>
          <w:ilvl w:val="0"/>
        </w:numPr>
        <w:ind w:firstLine="360"/>
        <w:jc w:val="both"/>
      </w:pPr>
      <w:r>
        <w:rPr>
          <w:position w:val="-14"/>
        </w:rPr>
        <w:object w:dxaOrig="4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1" o:spid="_x0000_s131" type="#_x0000_t75" style="width:24.55pt;height:15.80pt;mso-wrap-distance-left:0.00pt;mso-wrap-distance-top:0.00pt;mso-wrap-distance-right:0.00pt;mso-wrap-distance-bottom:0.00pt;" filled="f" stroked="f">
            <v:path textboxrect="0,0,0,0"/>
            <v:imagedata r:id="rId277" o:title=""/>
          </v:shape>
          <o:OLEObject DrawAspect="Content" r:id="rId278" ObjectID="_152504131" ProgID="Equation.3" ShapeID="_x0000_i131" Type="Embed"/>
        </w:object>
      </w:r>
      <w:r>
        <w:t xml:space="preserve"> - фактическая температура наружного воздуха в период отключения, (°С);</w:t>
      </w:r>
    </w:p>
    <w:p>
      <w:pPr>
        <w:numPr>
          <w:numId w:val="10"/>
          <w:ilvl w:val="0"/>
        </w:numPr>
        <w:ind w:firstLine="360"/>
        <w:jc w:val="both"/>
      </w:pPr>
      <w:r>
        <w:rPr>
          <w:position w:val="-14"/>
        </w:rPr>
        <w:object w:dxaOrig="4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2" o:spid="_x0000_s132" type="#_x0000_t75" style="width:24.55pt;height:15.80pt;mso-wrap-distance-left:0.00pt;mso-wrap-distance-top:0.00pt;mso-wrap-distance-right:0.00pt;mso-wrap-distance-bottom:0.00pt;" filled="f" stroked="f">
            <v:path textboxrect="0,0,0,0"/>
            <v:imagedata r:id="rId279" o:title=""/>
          </v:shape>
          <o:OLEObject DrawAspect="Content" r:id="rId280" ObjectID="_152504132" ProgID="Equation.3" ShapeID="_x0000_i132" Type="Embed"/>
        </w:object>
      </w:r>
      <w:r>
        <w:t xml:space="preserve"> - расчетная температура наружного воздуха для вентиляционной нагрузки (принимается согласно СНИП), (°С).</w:t>
      </w:r>
    </w:p>
    <w:p>
      <w:pPr>
        <w:numPr>
          <w:numId w:val="10"/>
          <w:ilvl w:val="0"/>
        </w:numPr>
        <w:ind w:firstLine="0"/>
        <w:jc w:val="both"/>
      </w:pPr>
      <w:r>
        <w:rPr>
          <w:position w:val="-12"/>
        </w:rPr>
        <w:object w:dxaOrig="54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3" o:spid="_x0000_s133" type="#_x0000_t75" style="width:29.15pt;height:19.55pt;mso-wrap-distance-left:0.00pt;mso-wrap-distance-top:0.00pt;mso-wrap-distance-right:0.00pt;mso-wrap-distance-bottom:0.00pt;" filled="f" stroked="f">
            <v:path textboxrect="0,0,0,0"/>
            <v:imagedata r:id="rId281" o:title=""/>
          </v:shape>
          <o:OLEObject DrawAspect="Content" r:id="rId282" ObjectID="_152504133" ProgID="Equation.3" ShapeID="_x0000_i133" Type="Embed"/>
        </w:object>
      </w:r>
      <w:r>
        <w:t xml:space="preserve"> - </w:t>
      </w:r>
      <w:r>
        <w:t xml:space="preserve">недоотпуск</w:t>
      </w:r>
      <w:r>
        <w:t xml:space="preserve"> при отключении теплоснабжения от нагрузки на горячее водоснабжение суммарно на отключенном участке, (Гкал);</w:t>
      </w:r>
    </w:p>
    <w:p>
      <w:pPr>
        <w:ind w:left="1080"/>
      </w:pPr>
    </w:p>
    <w:p>
      <w:pPr>
        <w:jc w:val="center"/>
      </w:pPr>
      <w:r>
        <w:rPr>
          <w:position w:val="-14"/>
        </w:rPr>
        <w:object w:dxaOrig="22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4" o:spid="_x0000_s134" type="#_x0000_t75" style="width:114.05pt;height:15.80pt;mso-wrap-distance-left:0.00pt;mso-wrap-distance-top:0.00pt;mso-wrap-distance-right:0.00pt;mso-wrap-distance-bottom:0.00pt;" filled="f" stroked="f">
            <v:path textboxrect="0,0,0,0"/>
            <v:imagedata r:id="rId283" o:title=""/>
          </v:shape>
          <o:OLEObject DrawAspect="Content" r:id="rId284" ObjectID="_152504134" ProgID="Equation.3" ShapeID="_x0000_i134" Type="Embed"/>
        </w:object>
      </w:r>
      <w:r>
        <w:t xml:space="preserve">, где:</w:t>
      </w:r>
    </w:p>
    <w:p>
      <w:pPr>
        <w:numPr>
          <w:numId w:val="10"/>
          <w:ilvl w:val="0"/>
        </w:numPr>
        <w:ind w:firstLine="360"/>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5" o:spid="_x0000_s135" type="#_x0000_t75" style="width:24.55pt;height:19.55pt;mso-wrap-distance-left:0.00pt;mso-wrap-distance-top:0.00pt;mso-wrap-distance-right:0.00pt;mso-wrap-distance-bottom:0.00pt;" filled="f" stroked="f">
            <v:path textboxrect="0,0,0,0"/>
            <v:imagedata r:id="rId285" o:title=""/>
          </v:shape>
          <o:OLEObject DrawAspect="Content" r:id="rId286" ObjectID="_152504135" ProgID="Equation.3" ShapeID="_x0000_i135" Type="Embed"/>
        </w:object>
      </w:r>
      <w:r>
        <w:t xml:space="preserve"> - объем отключенной или снижаемой нагрузки горячего водоснабжения, (Гкал/час);</w:t>
      </w:r>
    </w:p>
    <w:p>
      <w:pPr>
        <w:numPr>
          <w:numId w:val="10"/>
          <w:ilvl w:val="0"/>
        </w:numPr>
        <w:ind w:firstLine="360"/>
      </w:pPr>
      <w:r>
        <w:rPr>
          <w:position w:val="-14"/>
        </w:rPr>
        <w:object w:dxaOrig="8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6" o:spid="_x0000_s136" type="#_x0000_t75" style="width:37.45pt;height:15.80pt;mso-wrap-distance-left:0.00pt;mso-wrap-distance-top:0.00pt;mso-wrap-distance-right:0.00pt;mso-wrap-distance-bottom:0.00pt;" filled="f" stroked="f">
            <v:path textboxrect="0,0,0,0"/>
            <v:imagedata r:id="rId287" o:title=""/>
          </v:shape>
          <o:OLEObject DrawAspect="Content" r:id="rId288" ObjectID="_152504136" ProgID="Equation.3" ShapeID="_x0000_i136" Type="Embed"/>
        </w:object>
      </w:r>
      <w:r>
        <w:t xml:space="preserve"> - продолжительность отключения или снижения нагрузки горячего водоснабжения, (час).</w:t>
      </w:r>
    </w:p>
    <w:p>
      <w:pPr>
        <w:ind w:left="1260"/>
      </w:pPr>
    </w:p>
    <w:p>
      <w:pPr>
        <w:numPr>
          <w:numId w:val="10"/>
          <w:ilvl w:val="0"/>
        </w:numPr>
      </w:pPr>
      <w:r>
        <w:rPr>
          <w:position w:val="-12"/>
        </w:rPr>
        <w:object w:dxaOrig="4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7" o:spid="_x0000_s137" type="#_x0000_t75" style="width:21.65pt;height:19.55pt;mso-wrap-distance-left:0.00pt;mso-wrap-distance-top:0.00pt;mso-wrap-distance-right:0.00pt;mso-wrap-distance-bottom:0.00pt;" filled="f" stroked="f">
            <v:path textboxrect="0,0,0,0"/>
            <v:imagedata r:id="rId289" o:title=""/>
          </v:shape>
          <o:OLEObject DrawAspect="Content" r:id="rId290" ObjectID="_152504137" ProgID="Equation.3" ShapeID="_x0000_i137" Type="Embed"/>
        </w:object>
      </w:r>
      <w:r>
        <w:rPr>
          <w:position w:val="-12"/>
        </w:rPr>
        <w:t xml:space="preserve"> </w:t>
      </w:r>
      <w:r>
        <w:rPr>
          <w:rStyle w:val="a6"/>
        </w:rPr>
        <w:footnoteReference w:id="5"/>
      </w:r>
      <w:r>
        <w:t xml:space="preserve">- стоимость потерь сетевой воды при повреждениях трубопроводов тепловых сетей, (</w:t>
      </w:r>
      <w:r>
        <w:t xml:space="preserve">руб</w:t>
      </w:r>
      <w:r>
        <w:t xml:space="preserve">):</w:t>
      </w:r>
    </w:p>
    <w:p>
      <w:pPr>
        <w:jc w:val="center"/>
      </w:pPr>
      <w:r>
        <w:rPr>
          <w:position w:val="-14"/>
        </w:rPr>
        <w:object w:dxaOrig="378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8" o:spid="_x0000_s138" type="#_x0000_t75" style="width:186.85pt;height:21.65pt;mso-wrap-distance-left:0.00pt;mso-wrap-distance-top:0.00pt;mso-wrap-distance-right:0.00pt;mso-wrap-distance-bottom:0.00pt;" filled="f" stroked="f">
            <v:path textboxrect="0,0,0,0"/>
            <v:imagedata r:id="rId291" o:title=""/>
          </v:shape>
          <o:OLEObject DrawAspect="Content" r:id="rId292" ObjectID="_152504138" ProgID="Equation.3" ShapeID="_x0000_i138" Type="Embed"/>
        </w:object>
      </w:r>
      <w:r>
        <w:t xml:space="preserve">, где:</w:t>
      </w:r>
    </w:p>
    <w:p>
      <w:pPr>
        <w:numPr>
          <w:numId w:val="10"/>
          <w:ilvl w:val="0"/>
        </w:numPr>
        <w:ind w:firstLine="360"/>
      </w:pPr>
      <w:r>
        <w:rPr>
          <w:position w:val="-14"/>
        </w:rPr>
        <w:object w:dxaOrig="3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9" o:spid="_x0000_s139" type="#_x0000_t75" style="width:15.80pt;height:15.80pt;mso-wrap-distance-left:0.00pt;mso-wrap-distance-top:0.00pt;mso-wrap-distance-right:0.00pt;mso-wrap-distance-bottom:0.00pt;" filled="f" stroked="f">
            <v:path textboxrect="0,0,0,0"/>
            <v:imagedata r:id="rId293" o:title=""/>
          </v:shape>
          <o:OLEObject DrawAspect="Content" r:id="rId294" ObjectID="_152504139" ProgID="Equation.3" ShapeID="_x0000_i139" Type="Embed"/>
        </w:object>
      </w:r>
      <w:r>
        <w:t xml:space="preserve">- объем потерянного с утечкой тепла, (Гкал);</w:t>
      </w:r>
    </w:p>
    <w:p>
      <w:pPr>
        <w:ind w:left="1260"/>
        <w:jc w:val="center"/>
      </w:pPr>
      <w:r>
        <w:rPr>
          <w:position w:val="-14"/>
        </w:rPr>
        <w:object w:dxaOrig="288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0" o:spid="_x0000_s140" type="#_x0000_t75" style="width:144.00pt;height:21.65pt;mso-wrap-distance-left:0.00pt;mso-wrap-distance-top:0.00pt;mso-wrap-distance-right:0.00pt;mso-wrap-distance-bottom:0.00pt;" filled="f" stroked="f">
            <v:path textboxrect="0,0,0,0"/>
            <v:imagedata r:id="rId295" o:title=""/>
          </v:shape>
          <o:OLEObject DrawAspect="Content" r:id="rId296" ObjectID="_152504140" ProgID="Equation.3" ShapeID="_x0000_i140" Type="Embed"/>
        </w:object>
      </w:r>
      <w:r>
        <w:t xml:space="preserve">, где:</w:t>
      </w:r>
    </w:p>
    <w:p>
      <w:pPr>
        <w:numPr>
          <w:numId w:val="10"/>
          <w:ilvl w:val="0"/>
        </w:numPr>
        <w:tabs>
          <w:tab w:val="clear" w:pos="1260"/>
        </w:tabs>
        <w:ind w:left="2520" w:hanging="180"/>
      </w:pPr>
      <w:r>
        <w:rPr>
          <w:position w:val="-14"/>
        </w:rPr>
        <w:object w:dxaOrig="4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1" o:spid="_x0000_s141" type="#_x0000_t75" style="width:15.80pt;height:15.80pt;mso-wrap-distance-left:0.00pt;mso-wrap-distance-top:0.00pt;mso-wrap-distance-right:0.00pt;mso-wrap-distance-bottom:0.00pt;" filled="f" stroked="f">
            <v:path textboxrect="0,0,0,0"/>
            <v:imagedata r:id="rId297" o:title=""/>
          </v:shape>
          <o:OLEObject DrawAspect="Content" r:id="rId298" ObjectID="_152504141" ProgID="Equation.3" ShapeID="_x0000_i141" Type="Embed"/>
        </w:object>
      </w:r>
      <w:r>
        <w:t xml:space="preserve"> - утечка сетевой воды через свищ при повреждении или через сбросное устройство, (м</w:t>
      </w:r>
      <w:r>
        <w:rPr>
          <w:vertAlign w:val="superscript"/>
        </w:rPr>
        <w:t xml:space="preserve">3</w:t>
      </w:r>
      <w:r>
        <w:t xml:space="preserve">), в случае отсутствия данных приборов учета по объему утечки, рассчитывается по формуле:</w:t>
      </w:r>
    </w:p>
    <w:p>
      <w:pPr>
        <w:ind w:left="2340"/>
        <w:jc w:val="center"/>
      </w:pPr>
      <w:r>
        <w:rPr>
          <w:position w:val="-14"/>
        </w:rPr>
        <w:object w:dxaOrig="3420" w:dyaOrig="4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2" o:spid="_x0000_s142" type="#_x0000_t75" style="width:168.95pt;height:15.80pt;mso-wrap-distance-left:0.00pt;mso-wrap-distance-top:0.00pt;mso-wrap-distance-right:0.00pt;mso-wrap-distance-bottom:0.00pt;" filled="f" stroked="f">
            <v:path textboxrect="0,0,0,0"/>
            <v:imagedata r:id="rId299" o:title=""/>
          </v:shape>
          <o:OLEObject DrawAspect="Content" r:id="rId300" ObjectID="_152504142" ProgID="Equation.3" ShapeID="_x0000_i142" Type="Embed"/>
        </w:object>
      </w:r>
      <w:r>
        <w:t xml:space="preserve">, где:</w:t>
      </w:r>
    </w:p>
    <w:p>
      <w:pPr>
        <w:numPr>
          <w:numId w:val="10"/>
          <w:ilvl w:val="0"/>
        </w:numPr>
        <w:tabs>
          <w:tab w:val="clear" w:pos="1260"/>
        </w:tabs>
        <w:ind w:left="2520" w:firstLine="180"/>
      </w:pPr>
      <w:r>
        <w:rPr>
          <w:position w:val="-10"/>
        </w:rP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3" o:spid="_x0000_s143" type="#_x0000_t75" style="width:10.80pt;height:10.80pt;mso-wrap-distance-left:0.00pt;mso-wrap-distance-top:0.00pt;mso-wrap-distance-right:0.00pt;mso-wrap-distance-bottom:0.00pt;" filled="f" stroked="f">
            <v:path textboxrect="0,0,0,0"/>
            <v:imagedata r:id="rId301" o:title=""/>
          </v:shape>
          <o:OLEObject DrawAspect="Content" r:id="rId302" ObjectID="_152504143" ProgID="Equation.3" ShapeID="_x0000_i143" Type="Embed"/>
        </w:object>
      </w:r>
      <w:r>
        <w:t xml:space="preserve"> - плотность сетевой воды, (кг/м</w:t>
      </w:r>
      <w:r>
        <w:rPr>
          <w:vertAlign w:val="superscript"/>
        </w:rPr>
        <w:t xml:space="preserve">3</w:t>
      </w:r>
      <w:r>
        <w:t xml:space="preserve">); определяется согласно таблице:</w:t>
      </w:r>
    </w:p>
    <w:tbl>
      <w:tblPr>
        <w:tblW w:w="477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107"/>
        <w:gridCol w:w="1290"/>
        <w:gridCol w:w="1133"/>
        <w:gridCol w:w="1284"/>
        <w:gridCol w:w="1006"/>
        <w:gridCol w:w="1262"/>
        <w:gridCol w:w="1036"/>
        <w:gridCol w:w="1215"/>
      </w:tblGrid>
      <w:tr>
        <w:tc>
          <w:tcPr>
            <w:tcW w:w="1284" w:type="pct"/>
            <w:gridSpan w:val="2"/>
            <w:vAlign w:val="center"/>
          </w:tcPr>
          <w:p>
            <w:pPr>
              <w:jc w:val="center"/>
              <w:rPr>
                <w:sz w:val="20"/>
                <w:szCs w:val="20"/>
              </w:rPr>
            </w:pPr>
            <w:r>
              <w:rPr>
                <w:sz w:val="20"/>
                <w:szCs w:val="20"/>
              </w:rPr>
              <w:t xml:space="preserve">параметр</w:t>
            </w:r>
          </w:p>
        </w:tc>
        <w:tc>
          <w:tcPr>
            <w:tcW w:w="1295" w:type="pct"/>
            <w:gridSpan w:val="2"/>
            <w:vAlign w:val="center"/>
          </w:tcPr>
          <w:p>
            <w:pPr>
              <w:jc w:val="center"/>
              <w:rPr>
                <w:sz w:val="20"/>
                <w:szCs w:val="20"/>
              </w:rPr>
            </w:pPr>
            <w:r>
              <w:rPr>
                <w:sz w:val="20"/>
                <w:szCs w:val="20"/>
              </w:rPr>
              <w:t xml:space="preserve">параметр</w:t>
            </w:r>
          </w:p>
        </w:tc>
        <w:tc>
          <w:tcPr>
            <w:tcW w:w="1215" w:type="pct"/>
            <w:gridSpan w:val="2"/>
            <w:vAlign w:val="center"/>
          </w:tcPr>
          <w:p>
            <w:pPr>
              <w:jc w:val="center"/>
              <w:rPr>
                <w:sz w:val="20"/>
                <w:szCs w:val="20"/>
              </w:rPr>
            </w:pPr>
            <w:r>
              <w:rPr>
                <w:sz w:val="20"/>
                <w:szCs w:val="20"/>
              </w:rPr>
              <w:t xml:space="preserve">параметр</w:t>
            </w:r>
          </w:p>
        </w:tc>
        <w:tc>
          <w:tcPr>
            <w:tcW w:w="1206" w:type="pct"/>
            <w:gridSpan w:val="2"/>
            <w:vAlign w:val="center"/>
          </w:tcPr>
          <w:p>
            <w:pPr>
              <w:jc w:val="center"/>
              <w:rPr>
                <w:sz w:val="20"/>
                <w:szCs w:val="20"/>
              </w:rPr>
            </w:pPr>
            <w:r>
              <w:rPr>
                <w:sz w:val="20"/>
                <w:szCs w:val="20"/>
              </w:rPr>
              <w:t xml:space="preserve">параметр</w:t>
            </w:r>
          </w:p>
        </w:tc>
      </w:tr>
      <w:tr>
        <w:tc>
          <w:tcPr>
            <w:tcW w:w="593" w:type="pct"/>
            <w:vAlign w:val="center"/>
          </w:tcPr>
          <w:p>
            <w:pPr>
              <w:jc w:val="center"/>
              <w:rPr>
                <w:sz w:val="20"/>
                <w:szCs w:val="20"/>
              </w:rPr>
            </w:pPr>
            <w:r>
              <w:rPr>
                <w:sz w:val="20"/>
                <w:szCs w:val="20"/>
              </w:rPr>
              <w:t xml:space="preserve">температура, °С</w:t>
            </w:r>
          </w:p>
        </w:tc>
        <w:tc>
          <w:tcPr>
            <w:tcW w:w="691" w:type="pct"/>
            <w:vAlign w:val="center"/>
          </w:tcPr>
          <w:p>
            <w:pPr>
              <w:jc w:val="center"/>
              <w:rPr>
                <w:sz w:val="20"/>
                <w:szCs w:val="20"/>
                <w:vertAlign w:val="superscript"/>
              </w:rPr>
            </w:pPr>
            <w:r>
              <w:rPr>
                <w:sz w:val="20"/>
                <w:szCs w:val="20"/>
              </w:rPr>
              <w:t xml:space="preserve">плотность, кг/м</w:t>
            </w:r>
            <w:r>
              <w:rPr>
                <w:sz w:val="20"/>
                <w:szCs w:val="20"/>
                <w:vertAlign w:val="superscript"/>
              </w:rPr>
              <w:t xml:space="preserve">3</w:t>
            </w:r>
          </w:p>
        </w:tc>
        <w:tc>
          <w:tcPr>
            <w:tcW w:w="607" w:type="pct"/>
            <w:vAlign w:val="center"/>
          </w:tcPr>
          <w:p>
            <w:pPr>
              <w:jc w:val="center"/>
              <w:rPr>
                <w:sz w:val="20"/>
                <w:szCs w:val="20"/>
              </w:rPr>
            </w:pPr>
            <w:r>
              <w:rPr>
                <w:sz w:val="20"/>
                <w:szCs w:val="20"/>
              </w:rPr>
              <w:t xml:space="preserve">температура, °С</w:t>
            </w:r>
          </w:p>
        </w:tc>
        <w:tc>
          <w:tcPr>
            <w:tcW w:w="688" w:type="pct"/>
            <w:vAlign w:val="center"/>
          </w:tcPr>
          <w:p>
            <w:pPr>
              <w:jc w:val="center"/>
              <w:rPr>
                <w:sz w:val="20"/>
                <w:szCs w:val="20"/>
                <w:vertAlign w:val="superscript"/>
              </w:rPr>
            </w:pPr>
            <w:r>
              <w:rPr>
                <w:sz w:val="20"/>
                <w:szCs w:val="20"/>
              </w:rPr>
              <w:t xml:space="preserve">плотность, кг/м</w:t>
            </w:r>
            <w:r>
              <w:rPr>
                <w:sz w:val="20"/>
                <w:szCs w:val="20"/>
                <w:vertAlign w:val="superscript"/>
              </w:rPr>
              <w:t xml:space="preserve">3</w:t>
            </w:r>
          </w:p>
        </w:tc>
        <w:tc>
          <w:tcPr>
            <w:tcW w:w="539" w:type="pct"/>
            <w:vAlign w:val="center"/>
          </w:tcPr>
          <w:p>
            <w:pPr>
              <w:jc w:val="center"/>
              <w:rPr>
                <w:sz w:val="20"/>
                <w:szCs w:val="20"/>
              </w:rPr>
            </w:pPr>
            <w:r>
              <w:rPr>
                <w:sz w:val="20"/>
                <w:szCs w:val="20"/>
              </w:rPr>
              <w:t xml:space="preserve">температура, °С</w:t>
            </w:r>
          </w:p>
        </w:tc>
        <w:tc>
          <w:tcPr>
            <w:tcW w:w="676" w:type="pct"/>
            <w:vAlign w:val="center"/>
          </w:tcPr>
          <w:p>
            <w:pPr>
              <w:jc w:val="center"/>
              <w:rPr>
                <w:sz w:val="20"/>
                <w:szCs w:val="20"/>
                <w:vertAlign w:val="superscript"/>
              </w:rPr>
            </w:pPr>
            <w:r>
              <w:rPr>
                <w:sz w:val="20"/>
                <w:szCs w:val="20"/>
              </w:rPr>
              <w:t xml:space="preserve">плотность, кг/м</w:t>
            </w:r>
            <w:r>
              <w:rPr>
                <w:sz w:val="20"/>
                <w:szCs w:val="20"/>
                <w:vertAlign w:val="superscript"/>
              </w:rPr>
              <w:t xml:space="preserve">3</w:t>
            </w:r>
          </w:p>
        </w:tc>
        <w:tc>
          <w:tcPr>
            <w:tcW w:w="555" w:type="pct"/>
            <w:vAlign w:val="center"/>
          </w:tcPr>
          <w:p>
            <w:pPr>
              <w:jc w:val="center"/>
              <w:rPr>
                <w:sz w:val="20"/>
                <w:szCs w:val="20"/>
              </w:rPr>
            </w:pPr>
            <w:r>
              <w:rPr>
                <w:sz w:val="20"/>
                <w:szCs w:val="20"/>
              </w:rPr>
              <w:t xml:space="preserve">температура, °С</w:t>
            </w:r>
          </w:p>
        </w:tc>
        <w:tc>
          <w:tcPr>
            <w:tcW w:w="651" w:type="pct"/>
            <w:vAlign w:val="center"/>
          </w:tcPr>
          <w:p>
            <w:pPr>
              <w:jc w:val="center"/>
              <w:rPr>
                <w:sz w:val="20"/>
                <w:szCs w:val="20"/>
                <w:vertAlign w:val="superscript"/>
              </w:rPr>
            </w:pPr>
            <w:r>
              <w:rPr>
                <w:sz w:val="20"/>
                <w:szCs w:val="20"/>
              </w:rPr>
              <w:t xml:space="preserve">плотность, кг/м</w:t>
            </w:r>
            <w:r>
              <w:rPr>
                <w:sz w:val="20"/>
                <w:szCs w:val="20"/>
                <w:vertAlign w:val="superscript"/>
              </w:rPr>
              <w:t xml:space="preserve">3</w:t>
            </w:r>
          </w:p>
        </w:tc>
      </w:tr>
      <w:tr>
        <w:tc>
          <w:tcPr>
            <w:tcW w:w="593" w:type="pct"/>
            <w:vAlign w:val="center"/>
          </w:tcPr>
          <w:p>
            <w:pPr>
              <w:jc w:val="center"/>
              <w:rPr>
                <w:sz w:val="20"/>
                <w:szCs w:val="20"/>
              </w:rPr>
            </w:pPr>
            <w:r>
              <w:rPr>
                <w:sz w:val="20"/>
                <w:szCs w:val="20"/>
              </w:rPr>
              <w:t xml:space="preserve">10</w:t>
            </w:r>
          </w:p>
        </w:tc>
        <w:tc>
          <w:tcPr>
            <w:tcW w:w="691" w:type="pct"/>
            <w:vAlign w:val="center"/>
          </w:tcPr>
          <w:p>
            <w:pPr>
              <w:jc w:val="center"/>
              <w:rPr>
                <w:sz w:val="20"/>
                <w:szCs w:val="20"/>
              </w:rPr>
            </w:pPr>
            <w:r>
              <w:rPr>
                <w:sz w:val="20"/>
                <w:szCs w:val="20"/>
              </w:rPr>
              <w:t xml:space="preserve">999,59</w:t>
            </w:r>
          </w:p>
        </w:tc>
        <w:tc>
          <w:tcPr>
            <w:tcW w:w="607" w:type="pct"/>
            <w:vAlign w:val="center"/>
          </w:tcPr>
          <w:p>
            <w:pPr>
              <w:jc w:val="center"/>
              <w:rPr>
                <w:sz w:val="20"/>
                <w:szCs w:val="20"/>
              </w:rPr>
            </w:pPr>
            <w:r>
              <w:rPr>
                <w:sz w:val="20"/>
                <w:szCs w:val="20"/>
              </w:rPr>
              <w:t xml:space="preserve">55</w:t>
            </w:r>
          </w:p>
        </w:tc>
        <w:tc>
          <w:tcPr>
            <w:tcW w:w="688" w:type="pct"/>
            <w:vAlign w:val="center"/>
          </w:tcPr>
          <w:p>
            <w:pPr>
              <w:jc w:val="center"/>
              <w:rPr>
                <w:sz w:val="20"/>
                <w:szCs w:val="20"/>
              </w:rPr>
            </w:pPr>
            <w:r>
              <w:rPr>
                <w:sz w:val="20"/>
                <w:szCs w:val="20"/>
              </w:rPr>
              <w:t xml:space="preserve">985,73</w:t>
            </w:r>
          </w:p>
        </w:tc>
        <w:tc>
          <w:tcPr>
            <w:tcW w:w="539" w:type="pct"/>
            <w:vAlign w:val="center"/>
          </w:tcPr>
          <w:p>
            <w:pPr>
              <w:jc w:val="center"/>
              <w:rPr>
                <w:sz w:val="20"/>
                <w:szCs w:val="20"/>
              </w:rPr>
            </w:pPr>
            <w:r>
              <w:rPr>
                <w:sz w:val="20"/>
                <w:szCs w:val="20"/>
              </w:rPr>
              <w:t xml:space="preserve">100</w:t>
            </w:r>
          </w:p>
        </w:tc>
        <w:tc>
          <w:tcPr>
            <w:tcW w:w="676" w:type="pct"/>
            <w:vAlign w:val="center"/>
          </w:tcPr>
          <w:p>
            <w:pPr>
              <w:jc w:val="center"/>
              <w:rPr>
                <w:sz w:val="20"/>
                <w:szCs w:val="20"/>
              </w:rPr>
            </w:pPr>
            <w:r>
              <w:rPr>
                <w:sz w:val="20"/>
                <w:szCs w:val="20"/>
              </w:rPr>
              <w:t xml:space="preserve">958,38</w:t>
            </w:r>
          </w:p>
        </w:tc>
        <w:tc>
          <w:tcPr>
            <w:tcW w:w="555" w:type="pct"/>
            <w:vAlign w:val="center"/>
          </w:tcPr>
          <w:p>
            <w:pPr>
              <w:jc w:val="center"/>
              <w:rPr>
                <w:sz w:val="20"/>
                <w:szCs w:val="20"/>
              </w:rPr>
            </w:pPr>
            <w:r>
              <w:rPr>
                <w:sz w:val="20"/>
                <w:szCs w:val="20"/>
              </w:rPr>
              <w:t xml:space="preserve">145</w:t>
            </w:r>
          </w:p>
        </w:tc>
        <w:tc>
          <w:tcPr>
            <w:tcW w:w="651" w:type="pct"/>
            <w:vAlign w:val="center"/>
          </w:tcPr>
          <w:p>
            <w:pPr>
              <w:jc w:val="center"/>
              <w:rPr>
                <w:sz w:val="20"/>
                <w:szCs w:val="20"/>
              </w:rPr>
            </w:pPr>
            <w:r>
              <w:rPr>
                <w:sz w:val="20"/>
                <w:szCs w:val="20"/>
              </w:rPr>
              <w:t xml:space="preserve">921,57</w:t>
            </w:r>
          </w:p>
        </w:tc>
      </w:tr>
      <w:tr>
        <w:tc>
          <w:tcPr>
            <w:tcW w:w="593" w:type="pct"/>
            <w:vAlign w:val="center"/>
          </w:tcPr>
          <w:p>
            <w:pPr>
              <w:jc w:val="center"/>
              <w:rPr>
                <w:sz w:val="20"/>
                <w:szCs w:val="20"/>
              </w:rPr>
            </w:pPr>
            <w:r>
              <w:rPr>
                <w:sz w:val="20"/>
                <w:szCs w:val="20"/>
              </w:rPr>
              <w:t xml:space="preserve">15</w:t>
            </w:r>
          </w:p>
        </w:tc>
        <w:tc>
          <w:tcPr>
            <w:tcW w:w="691" w:type="pct"/>
            <w:vAlign w:val="center"/>
          </w:tcPr>
          <w:p>
            <w:pPr>
              <w:jc w:val="center"/>
              <w:rPr>
                <w:sz w:val="20"/>
                <w:szCs w:val="20"/>
              </w:rPr>
            </w:pPr>
            <w:r>
              <w:rPr>
                <w:sz w:val="20"/>
                <w:szCs w:val="20"/>
              </w:rPr>
              <w:t xml:space="preserve">999,00</w:t>
            </w:r>
          </w:p>
        </w:tc>
        <w:tc>
          <w:tcPr>
            <w:tcW w:w="607" w:type="pct"/>
            <w:vAlign w:val="center"/>
          </w:tcPr>
          <w:p>
            <w:pPr>
              <w:jc w:val="center"/>
              <w:rPr>
                <w:sz w:val="20"/>
                <w:szCs w:val="20"/>
              </w:rPr>
            </w:pPr>
            <w:r>
              <w:rPr>
                <w:sz w:val="20"/>
                <w:szCs w:val="20"/>
              </w:rPr>
              <w:t xml:space="preserve">60</w:t>
            </w:r>
          </w:p>
        </w:tc>
        <w:tc>
          <w:tcPr>
            <w:tcW w:w="688" w:type="pct"/>
            <w:vAlign w:val="center"/>
          </w:tcPr>
          <w:p>
            <w:pPr>
              <w:jc w:val="center"/>
              <w:rPr>
                <w:sz w:val="20"/>
                <w:szCs w:val="20"/>
              </w:rPr>
            </w:pPr>
            <w:r>
              <w:rPr>
                <w:sz w:val="20"/>
                <w:szCs w:val="20"/>
              </w:rPr>
              <w:t xml:space="preserve">983,24</w:t>
            </w:r>
          </w:p>
        </w:tc>
        <w:tc>
          <w:tcPr>
            <w:tcW w:w="539" w:type="pct"/>
            <w:vAlign w:val="center"/>
          </w:tcPr>
          <w:p>
            <w:pPr>
              <w:jc w:val="center"/>
              <w:rPr>
                <w:sz w:val="20"/>
                <w:szCs w:val="20"/>
              </w:rPr>
            </w:pPr>
            <w:r>
              <w:rPr>
                <w:sz w:val="20"/>
                <w:szCs w:val="20"/>
              </w:rPr>
              <w:t xml:space="preserve">105</w:t>
            </w:r>
          </w:p>
        </w:tc>
        <w:tc>
          <w:tcPr>
            <w:tcW w:w="676" w:type="pct"/>
            <w:vAlign w:val="center"/>
          </w:tcPr>
          <w:p>
            <w:pPr>
              <w:jc w:val="center"/>
              <w:rPr>
                <w:sz w:val="20"/>
                <w:szCs w:val="20"/>
              </w:rPr>
            </w:pPr>
            <w:r>
              <w:rPr>
                <w:sz w:val="20"/>
                <w:szCs w:val="20"/>
              </w:rPr>
              <w:t xml:space="preserve">954,75</w:t>
            </w:r>
          </w:p>
        </w:tc>
        <w:tc>
          <w:tcPr>
            <w:tcW w:w="555" w:type="pct"/>
            <w:vAlign w:val="center"/>
          </w:tcPr>
          <w:p>
            <w:pPr>
              <w:jc w:val="center"/>
              <w:rPr>
                <w:sz w:val="20"/>
                <w:szCs w:val="20"/>
              </w:rPr>
            </w:pPr>
            <w:r>
              <w:rPr>
                <w:sz w:val="20"/>
                <w:szCs w:val="20"/>
              </w:rPr>
              <w:t xml:space="preserve">150</w:t>
            </w:r>
          </w:p>
        </w:tc>
        <w:tc>
          <w:tcPr>
            <w:tcW w:w="651" w:type="pct"/>
            <w:vAlign w:val="center"/>
          </w:tcPr>
          <w:p>
            <w:pPr>
              <w:jc w:val="center"/>
              <w:rPr>
                <w:sz w:val="20"/>
                <w:szCs w:val="20"/>
              </w:rPr>
            </w:pPr>
            <w:r>
              <w:rPr>
                <w:sz w:val="20"/>
                <w:szCs w:val="20"/>
              </w:rPr>
              <w:t xml:space="preserve">916,63</w:t>
            </w:r>
          </w:p>
        </w:tc>
      </w:tr>
      <w:tr>
        <w:tc>
          <w:tcPr>
            <w:tcW w:w="593" w:type="pct"/>
            <w:vAlign w:val="center"/>
          </w:tcPr>
          <w:p>
            <w:pPr>
              <w:jc w:val="center"/>
              <w:rPr>
                <w:sz w:val="20"/>
                <w:szCs w:val="20"/>
              </w:rPr>
            </w:pPr>
            <w:r>
              <w:rPr>
                <w:sz w:val="20"/>
                <w:szCs w:val="20"/>
              </w:rPr>
              <w:t xml:space="preserve">20</w:t>
            </w:r>
          </w:p>
        </w:tc>
        <w:tc>
          <w:tcPr>
            <w:tcW w:w="691" w:type="pct"/>
            <w:vAlign w:val="center"/>
          </w:tcPr>
          <w:p>
            <w:pPr>
              <w:jc w:val="center"/>
              <w:rPr>
                <w:sz w:val="20"/>
                <w:szCs w:val="20"/>
              </w:rPr>
            </w:pPr>
            <w:r>
              <w:rPr>
                <w:sz w:val="20"/>
                <w:szCs w:val="20"/>
              </w:rPr>
              <w:t xml:space="preserve">998,23</w:t>
            </w:r>
          </w:p>
        </w:tc>
        <w:tc>
          <w:tcPr>
            <w:tcW w:w="607" w:type="pct"/>
            <w:vAlign w:val="center"/>
          </w:tcPr>
          <w:p>
            <w:pPr>
              <w:jc w:val="center"/>
              <w:rPr>
                <w:sz w:val="20"/>
                <w:szCs w:val="20"/>
              </w:rPr>
            </w:pPr>
            <w:r>
              <w:rPr>
                <w:sz w:val="20"/>
                <w:szCs w:val="20"/>
              </w:rPr>
              <w:t xml:space="preserve">65</w:t>
            </w:r>
          </w:p>
        </w:tc>
        <w:tc>
          <w:tcPr>
            <w:tcW w:w="688" w:type="pct"/>
            <w:vAlign w:val="center"/>
          </w:tcPr>
          <w:p>
            <w:pPr>
              <w:jc w:val="center"/>
              <w:rPr>
                <w:sz w:val="20"/>
                <w:szCs w:val="20"/>
              </w:rPr>
            </w:pPr>
            <w:r>
              <w:rPr>
                <w:sz w:val="20"/>
                <w:szCs w:val="20"/>
              </w:rPr>
              <w:t xml:space="preserve">980,59</w:t>
            </w:r>
          </w:p>
        </w:tc>
        <w:tc>
          <w:tcPr>
            <w:tcW w:w="539" w:type="pct"/>
            <w:vAlign w:val="center"/>
          </w:tcPr>
          <w:p>
            <w:pPr>
              <w:jc w:val="center"/>
              <w:rPr>
                <w:sz w:val="20"/>
                <w:szCs w:val="20"/>
              </w:rPr>
            </w:pPr>
            <w:r>
              <w:rPr>
                <w:sz w:val="20"/>
                <w:szCs w:val="20"/>
              </w:rPr>
              <w:t xml:space="preserve">110</w:t>
            </w:r>
          </w:p>
        </w:tc>
        <w:tc>
          <w:tcPr>
            <w:tcW w:w="676" w:type="pct"/>
            <w:vAlign w:val="center"/>
          </w:tcPr>
          <w:p>
            <w:pPr>
              <w:jc w:val="center"/>
              <w:rPr>
                <w:sz w:val="20"/>
                <w:szCs w:val="20"/>
              </w:rPr>
            </w:pPr>
            <w:r>
              <w:rPr>
                <w:sz w:val="20"/>
                <w:szCs w:val="20"/>
              </w:rPr>
              <w:t xml:space="preserve">951,98</w:t>
            </w:r>
          </w:p>
        </w:tc>
        <w:tc>
          <w:tcPr>
            <w:tcW w:w="555" w:type="pct"/>
            <w:vAlign w:val="center"/>
          </w:tcPr>
          <w:p>
            <w:pPr>
              <w:jc w:val="center"/>
              <w:rPr>
                <w:sz w:val="20"/>
                <w:szCs w:val="20"/>
              </w:rPr>
            </w:pPr>
            <w:r>
              <w:rPr>
                <w:sz w:val="20"/>
                <w:szCs w:val="20"/>
              </w:rPr>
              <w:t xml:space="preserve">155</w:t>
            </w:r>
          </w:p>
        </w:tc>
        <w:tc>
          <w:tcPr>
            <w:tcW w:w="651" w:type="pct"/>
            <w:vAlign w:val="center"/>
          </w:tcPr>
          <w:p>
            <w:pPr>
              <w:jc w:val="center"/>
              <w:rPr>
                <w:sz w:val="20"/>
                <w:szCs w:val="20"/>
              </w:rPr>
            </w:pPr>
            <w:r>
              <w:rPr>
                <w:sz w:val="20"/>
                <w:szCs w:val="20"/>
              </w:rPr>
              <w:t xml:space="preserve">912,24</w:t>
            </w:r>
          </w:p>
        </w:tc>
      </w:tr>
      <w:tr>
        <w:tc>
          <w:tcPr>
            <w:tcW w:w="593" w:type="pct"/>
            <w:vAlign w:val="center"/>
          </w:tcPr>
          <w:p>
            <w:pPr>
              <w:jc w:val="center"/>
              <w:rPr>
                <w:sz w:val="20"/>
                <w:szCs w:val="20"/>
              </w:rPr>
            </w:pPr>
            <w:r>
              <w:rPr>
                <w:sz w:val="20"/>
                <w:szCs w:val="20"/>
              </w:rPr>
              <w:t xml:space="preserve">25</w:t>
            </w:r>
          </w:p>
        </w:tc>
        <w:tc>
          <w:tcPr>
            <w:tcW w:w="691" w:type="pct"/>
            <w:vAlign w:val="center"/>
          </w:tcPr>
          <w:p>
            <w:pPr>
              <w:jc w:val="center"/>
              <w:rPr>
                <w:sz w:val="20"/>
                <w:szCs w:val="20"/>
              </w:rPr>
            </w:pPr>
            <w:r>
              <w:rPr>
                <w:sz w:val="20"/>
                <w:szCs w:val="20"/>
              </w:rPr>
              <w:t xml:space="preserve">997,00</w:t>
            </w:r>
          </w:p>
        </w:tc>
        <w:tc>
          <w:tcPr>
            <w:tcW w:w="607" w:type="pct"/>
            <w:vAlign w:val="center"/>
          </w:tcPr>
          <w:p>
            <w:pPr>
              <w:jc w:val="center"/>
              <w:rPr>
                <w:sz w:val="20"/>
                <w:szCs w:val="20"/>
              </w:rPr>
            </w:pPr>
            <w:r>
              <w:rPr>
                <w:sz w:val="20"/>
                <w:szCs w:val="20"/>
              </w:rPr>
              <w:t xml:space="preserve">70</w:t>
            </w:r>
          </w:p>
        </w:tc>
        <w:tc>
          <w:tcPr>
            <w:tcW w:w="688" w:type="pct"/>
            <w:vAlign w:val="center"/>
          </w:tcPr>
          <w:p>
            <w:pPr>
              <w:jc w:val="center"/>
              <w:rPr>
                <w:sz w:val="20"/>
                <w:szCs w:val="20"/>
              </w:rPr>
            </w:pPr>
            <w:r>
              <w:rPr>
                <w:sz w:val="20"/>
                <w:szCs w:val="20"/>
              </w:rPr>
              <w:t xml:space="preserve">977,81</w:t>
            </w:r>
          </w:p>
        </w:tc>
        <w:tc>
          <w:tcPr>
            <w:tcW w:w="539" w:type="pct"/>
            <w:vAlign w:val="center"/>
          </w:tcPr>
          <w:p>
            <w:pPr>
              <w:jc w:val="center"/>
              <w:rPr>
                <w:sz w:val="20"/>
                <w:szCs w:val="20"/>
              </w:rPr>
            </w:pPr>
            <w:r>
              <w:rPr>
                <w:sz w:val="20"/>
                <w:szCs w:val="20"/>
              </w:rPr>
              <w:t xml:space="preserve">115</w:t>
            </w:r>
          </w:p>
        </w:tc>
        <w:tc>
          <w:tcPr>
            <w:tcW w:w="676" w:type="pct"/>
            <w:vAlign w:val="center"/>
          </w:tcPr>
          <w:p>
            <w:pPr>
              <w:jc w:val="center"/>
              <w:rPr>
                <w:sz w:val="20"/>
                <w:szCs w:val="20"/>
              </w:rPr>
            </w:pPr>
            <w:r>
              <w:rPr>
                <w:sz w:val="20"/>
                <w:szCs w:val="20"/>
              </w:rPr>
              <w:t xml:space="preserve">947,15</w:t>
            </w:r>
          </w:p>
        </w:tc>
        <w:tc>
          <w:tcPr>
            <w:tcW w:w="555" w:type="pct"/>
            <w:vAlign w:val="center"/>
          </w:tcPr>
          <w:p>
            <w:pPr>
              <w:jc w:val="center"/>
              <w:rPr>
                <w:sz w:val="20"/>
                <w:szCs w:val="20"/>
              </w:rPr>
            </w:pPr>
            <w:r>
              <w:rPr>
                <w:sz w:val="20"/>
                <w:szCs w:val="20"/>
              </w:rPr>
              <w:t xml:space="preserve">160</w:t>
            </w:r>
          </w:p>
        </w:tc>
        <w:tc>
          <w:tcPr>
            <w:tcW w:w="651" w:type="pct"/>
            <w:vAlign w:val="center"/>
          </w:tcPr>
          <w:p>
            <w:pPr>
              <w:jc w:val="center"/>
              <w:rPr>
                <w:sz w:val="20"/>
                <w:szCs w:val="20"/>
              </w:rPr>
            </w:pPr>
            <w:r>
              <w:rPr>
                <w:sz w:val="20"/>
                <w:szCs w:val="20"/>
              </w:rPr>
              <w:t xml:space="preserve">907,40</w:t>
            </w:r>
          </w:p>
        </w:tc>
      </w:tr>
      <w:tr>
        <w:tc>
          <w:tcPr>
            <w:tcW w:w="593" w:type="pct"/>
            <w:vAlign w:val="center"/>
          </w:tcPr>
          <w:p>
            <w:pPr>
              <w:jc w:val="center"/>
              <w:rPr>
                <w:sz w:val="20"/>
                <w:szCs w:val="20"/>
              </w:rPr>
            </w:pPr>
            <w:r>
              <w:rPr>
                <w:sz w:val="20"/>
                <w:szCs w:val="20"/>
              </w:rPr>
              <w:t xml:space="preserve">30</w:t>
            </w:r>
          </w:p>
        </w:tc>
        <w:tc>
          <w:tcPr>
            <w:tcW w:w="691" w:type="pct"/>
            <w:vAlign w:val="center"/>
          </w:tcPr>
          <w:p>
            <w:pPr>
              <w:jc w:val="center"/>
              <w:rPr>
                <w:sz w:val="20"/>
                <w:szCs w:val="20"/>
              </w:rPr>
            </w:pPr>
            <w:r>
              <w:rPr>
                <w:sz w:val="20"/>
                <w:szCs w:val="20"/>
              </w:rPr>
              <w:t xml:space="preserve">995,67</w:t>
            </w:r>
          </w:p>
        </w:tc>
        <w:tc>
          <w:tcPr>
            <w:tcW w:w="607" w:type="pct"/>
            <w:vAlign w:val="center"/>
          </w:tcPr>
          <w:p>
            <w:pPr>
              <w:jc w:val="center"/>
              <w:rPr>
                <w:sz w:val="20"/>
                <w:szCs w:val="20"/>
              </w:rPr>
            </w:pPr>
            <w:r>
              <w:rPr>
                <w:sz w:val="20"/>
                <w:szCs w:val="20"/>
              </w:rPr>
              <w:t xml:space="preserve">75</w:t>
            </w:r>
          </w:p>
        </w:tc>
        <w:tc>
          <w:tcPr>
            <w:tcW w:w="688" w:type="pct"/>
            <w:vAlign w:val="center"/>
          </w:tcPr>
          <w:p>
            <w:pPr>
              <w:jc w:val="center"/>
              <w:rPr>
                <w:sz w:val="20"/>
                <w:szCs w:val="20"/>
              </w:rPr>
            </w:pPr>
            <w:r>
              <w:rPr>
                <w:sz w:val="20"/>
                <w:szCs w:val="20"/>
              </w:rPr>
              <w:t xml:space="preserve">974,84</w:t>
            </w:r>
          </w:p>
        </w:tc>
        <w:tc>
          <w:tcPr>
            <w:tcW w:w="539" w:type="pct"/>
            <w:vAlign w:val="center"/>
          </w:tcPr>
          <w:p>
            <w:pPr>
              <w:jc w:val="center"/>
              <w:rPr>
                <w:sz w:val="20"/>
                <w:szCs w:val="20"/>
              </w:rPr>
            </w:pPr>
            <w:r>
              <w:rPr>
                <w:sz w:val="20"/>
                <w:szCs w:val="20"/>
              </w:rPr>
              <w:t xml:space="preserve">120</w:t>
            </w:r>
          </w:p>
        </w:tc>
        <w:tc>
          <w:tcPr>
            <w:tcW w:w="676" w:type="pct"/>
            <w:vAlign w:val="center"/>
          </w:tcPr>
          <w:p>
            <w:pPr>
              <w:jc w:val="center"/>
              <w:rPr>
                <w:sz w:val="20"/>
                <w:szCs w:val="20"/>
              </w:rPr>
            </w:pPr>
            <w:r>
              <w:rPr>
                <w:sz w:val="20"/>
                <w:szCs w:val="20"/>
              </w:rPr>
              <w:t xml:space="preserve">945,13</w:t>
            </w:r>
          </w:p>
        </w:tc>
        <w:tc>
          <w:tcPr>
            <w:tcW w:w="555" w:type="pct"/>
            <w:vAlign w:val="center"/>
          </w:tcPr>
          <w:p>
            <w:pPr>
              <w:jc w:val="center"/>
              <w:rPr>
                <w:sz w:val="20"/>
                <w:szCs w:val="20"/>
              </w:rPr>
            </w:pPr>
            <w:r>
              <w:rPr>
                <w:sz w:val="20"/>
                <w:szCs w:val="20"/>
              </w:rPr>
              <w:t xml:space="preserve">165</w:t>
            </w:r>
          </w:p>
        </w:tc>
        <w:tc>
          <w:tcPr>
            <w:tcW w:w="651" w:type="pct"/>
            <w:vAlign w:val="center"/>
          </w:tcPr>
          <w:p>
            <w:pPr>
              <w:jc w:val="center"/>
              <w:rPr>
                <w:sz w:val="20"/>
                <w:szCs w:val="20"/>
              </w:rPr>
            </w:pPr>
            <w:r>
              <w:rPr>
                <w:sz w:val="20"/>
                <w:szCs w:val="20"/>
              </w:rPr>
              <w:t xml:space="preserve">902,44</w:t>
            </w:r>
          </w:p>
        </w:tc>
      </w:tr>
      <w:tr>
        <w:tc>
          <w:tcPr>
            <w:tcW w:w="593" w:type="pct"/>
            <w:vAlign w:val="center"/>
          </w:tcPr>
          <w:p>
            <w:pPr>
              <w:jc w:val="center"/>
              <w:rPr>
                <w:sz w:val="20"/>
                <w:szCs w:val="20"/>
              </w:rPr>
            </w:pPr>
            <w:r>
              <w:rPr>
                <w:sz w:val="20"/>
                <w:szCs w:val="20"/>
              </w:rPr>
              <w:t xml:space="preserve">35</w:t>
            </w:r>
          </w:p>
        </w:tc>
        <w:tc>
          <w:tcPr>
            <w:tcW w:w="691" w:type="pct"/>
            <w:vAlign w:val="center"/>
          </w:tcPr>
          <w:p>
            <w:pPr>
              <w:jc w:val="center"/>
              <w:rPr>
                <w:sz w:val="20"/>
                <w:szCs w:val="20"/>
              </w:rPr>
            </w:pPr>
            <w:r>
              <w:rPr>
                <w:sz w:val="20"/>
                <w:szCs w:val="20"/>
              </w:rPr>
              <w:t xml:space="preserve">993,94</w:t>
            </w:r>
          </w:p>
        </w:tc>
        <w:tc>
          <w:tcPr>
            <w:tcW w:w="607" w:type="pct"/>
            <w:vAlign w:val="center"/>
          </w:tcPr>
          <w:p>
            <w:pPr>
              <w:jc w:val="center"/>
              <w:rPr>
                <w:sz w:val="20"/>
                <w:szCs w:val="20"/>
              </w:rPr>
            </w:pPr>
            <w:r>
              <w:rPr>
                <w:sz w:val="20"/>
                <w:szCs w:val="20"/>
              </w:rPr>
              <w:t xml:space="preserve">80</w:t>
            </w:r>
          </w:p>
        </w:tc>
        <w:tc>
          <w:tcPr>
            <w:tcW w:w="688" w:type="pct"/>
            <w:vAlign w:val="center"/>
          </w:tcPr>
          <w:p>
            <w:pPr>
              <w:jc w:val="center"/>
              <w:rPr>
                <w:sz w:val="20"/>
                <w:szCs w:val="20"/>
              </w:rPr>
            </w:pPr>
            <w:r>
              <w:rPr>
                <w:sz w:val="20"/>
                <w:szCs w:val="20"/>
              </w:rPr>
              <w:t xml:space="preserve">971,83</w:t>
            </w:r>
          </w:p>
        </w:tc>
        <w:tc>
          <w:tcPr>
            <w:tcW w:w="539" w:type="pct"/>
            <w:vAlign w:val="center"/>
          </w:tcPr>
          <w:p>
            <w:pPr>
              <w:jc w:val="center"/>
              <w:rPr>
                <w:sz w:val="20"/>
                <w:szCs w:val="20"/>
              </w:rPr>
            </w:pPr>
            <w:r>
              <w:rPr>
                <w:sz w:val="20"/>
                <w:szCs w:val="20"/>
              </w:rPr>
              <w:t xml:space="preserve">125</w:t>
            </w:r>
          </w:p>
        </w:tc>
        <w:tc>
          <w:tcPr>
            <w:tcW w:w="676" w:type="pct"/>
            <w:vAlign w:val="center"/>
          </w:tcPr>
          <w:p>
            <w:pPr>
              <w:jc w:val="center"/>
              <w:rPr>
                <w:sz w:val="20"/>
                <w:szCs w:val="20"/>
              </w:rPr>
            </w:pPr>
            <w:r>
              <w:rPr>
                <w:sz w:val="20"/>
                <w:szCs w:val="20"/>
              </w:rPr>
              <w:t xml:space="preserve">941,45</w:t>
            </w:r>
          </w:p>
        </w:tc>
        <w:tc>
          <w:tcPr>
            <w:tcW w:w="555" w:type="pct"/>
            <w:vAlign w:val="center"/>
          </w:tcPr>
          <w:p>
            <w:pPr>
              <w:jc w:val="center"/>
              <w:rPr>
                <w:sz w:val="20"/>
                <w:szCs w:val="20"/>
              </w:rPr>
            </w:pPr>
            <w:r>
              <w:rPr>
                <w:sz w:val="20"/>
                <w:szCs w:val="20"/>
              </w:rPr>
              <w:t xml:space="preserve">170</w:t>
            </w:r>
          </w:p>
        </w:tc>
        <w:tc>
          <w:tcPr>
            <w:tcW w:w="651" w:type="pct"/>
            <w:vAlign w:val="center"/>
          </w:tcPr>
          <w:p>
            <w:pPr>
              <w:jc w:val="center"/>
              <w:rPr>
                <w:sz w:val="20"/>
                <w:szCs w:val="20"/>
              </w:rPr>
            </w:pPr>
            <w:r>
              <w:rPr>
                <w:sz w:val="20"/>
                <w:szCs w:val="20"/>
              </w:rPr>
              <w:t xml:space="preserve">897,34</w:t>
            </w:r>
          </w:p>
        </w:tc>
      </w:tr>
      <w:tr>
        <w:tc>
          <w:tcPr>
            <w:tcW w:w="593" w:type="pct"/>
            <w:vAlign w:val="center"/>
          </w:tcPr>
          <w:p>
            <w:pPr>
              <w:jc w:val="center"/>
              <w:rPr>
                <w:sz w:val="20"/>
                <w:szCs w:val="20"/>
              </w:rPr>
            </w:pPr>
            <w:r>
              <w:rPr>
                <w:sz w:val="20"/>
                <w:szCs w:val="20"/>
              </w:rPr>
              <w:t xml:space="preserve">40</w:t>
            </w:r>
          </w:p>
        </w:tc>
        <w:tc>
          <w:tcPr>
            <w:tcW w:w="691" w:type="pct"/>
            <w:vAlign w:val="center"/>
          </w:tcPr>
          <w:p>
            <w:pPr>
              <w:jc w:val="center"/>
              <w:rPr>
                <w:sz w:val="20"/>
                <w:szCs w:val="20"/>
              </w:rPr>
            </w:pPr>
            <w:r>
              <w:rPr>
                <w:sz w:val="20"/>
                <w:szCs w:val="20"/>
              </w:rPr>
              <w:t xml:space="preserve">992,24</w:t>
            </w:r>
          </w:p>
        </w:tc>
        <w:tc>
          <w:tcPr>
            <w:tcW w:w="607" w:type="pct"/>
            <w:vAlign w:val="center"/>
          </w:tcPr>
          <w:p>
            <w:pPr>
              <w:jc w:val="center"/>
              <w:rPr>
                <w:sz w:val="20"/>
                <w:szCs w:val="20"/>
              </w:rPr>
            </w:pPr>
            <w:r>
              <w:rPr>
                <w:sz w:val="20"/>
                <w:szCs w:val="20"/>
              </w:rPr>
              <w:t xml:space="preserve">85</w:t>
            </w:r>
          </w:p>
        </w:tc>
        <w:tc>
          <w:tcPr>
            <w:tcW w:w="688" w:type="pct"/>
            <w:vAlign w:val="center"/>
          </w:tcPr>
          <w:p>
            <w:pPr>
              <w:jc w:val="center"/>
              <w:rPr>
                <w:sz w:val="20"/>
                <w:szCs w:val="20"/>
              </w:rPr>
            </w:pPr>
            <w:r>
              <w:rPr>
                <w:sz w:val="20"/>
                <w:szCs w:val="20"/>
              </w:rPr>
              <w:t xml:space="preserve">968,65</w:t>
            </w:r>
          </w:p>
        </w:tc>
        <w:tc>
          <w:tcPr>
            <w:tcW w:w="539" w:type="pct"/>
            <w:vAlign w:val="center"/>
          </w:tcPr>
          <w:p>
            <w:pPr>
              <w:jc w:val="center"/>
              <w:rPr>
                <w:sz w:val="20"/>
                <w:szCs w:val="20"/>
              </w:rPr>
            </w:pPr>
            <w:r>
              <w:rPr>
                <w:sz w:val="20"/>
                <w:szCs w:val="20"/>
              </w:rPr>
              <w:t xml:space="preserve">130</w:t>
            </w:r>
          </w:p>
        </w:tc>
        <w:tc>
          <w:tcPr>
            <w:tcW w:w="676" w:type="pct"/>
            <w:vAlign w:val="center"/>
          </w:tcPr>
          <w:p>
            <w:pPr>
              <w:jc w:val="center"/>
              <w:rPr>
                <w:sz w:val="20"/>
                <w:szCs w:val="20"/>
              </w:rPr>
            </w:pPr>
            <w:r>
              <w:rPr>
                <w:sz w:val="20"/>
                <w:szCs w:val="20"/>
              </w:rPr>
              <w:t xml:space="preserve">934,84</w:t>
            </w:r>
          </w:p>
        </w:tc>
        <w:tc>
          <w:tcPr>
            <w:tcW w:w="555" w:type="pct"/>
            <w:vAlign w:val="center"/>
          </w:tcPr>
          <w:p>
            <w:pPr>
              <w:jc w:val="center"/>
              <w:rPr>
                <w:sz w:val="20"/>
                <w:szCs w:val="20"/>
              </w:rPr>
            </w:pPr>
            <w:r>
              <w:rPr>
                <w:sz w:val="20"/>
                <w:szCs w:val="20"/>
              </w:rPr>
              <w:t xml:space="preserve">175</w:t>
            </w:r>
          </w:p>
        </w:tc>
        <w:tc>
          <w:tcPr>
            <w:tcW w:w="651" w:type="pct"/>
            <w:vAlign w:val="center"/>
          </w:tcPr>
          <w:p>
            <w:pPr>
              <w:jc w:val="center"/>
              <w:rPr>
                <w:sz w:val="20"/>
                <w:szCs w:val="20"/>
              </w:rPr>
            </w:pPr>
            <w:r>
              <w:rPr>
                <w:sz w:val="20"/>
                <w:szCs w:val="20"/>
              </w:rPr>
              <w:t xml:space="preserve">892,22</w:t>
            </w:r>
          </w:p>
        </w:tc>
      </w:tr>
      <w:tr>
        <w:tc>
          <w:tcPr>
            <w:tcW w:w="593" w:type="pct"/>
            <w:vAlign w:val="center"/>
          </w:tcPr>
          <w:p>
            <w:pPr>
              <w:jc w:val="center"/>
              <w:rPr>
                <w:sz w:val="20"/>
                <w:szCs w:val="20"/>
              </w:rPr>
            </w:pPr>
            <w:r>
              <w:rPr>
                <w:sz w:val="20"/>
                <w:szCs w:val="20"/>
              </w:rPr>
              <w:t xml:space="preserve">45</w:t>
            </w:r>
          </w:p>
        </w:tc>
        <w:tc>
          <w:tcPr>
            <w:tcW w:w="691" w:type="pct"/>
            <w:vAlign w:val="center"/>
          </w:tcPr>
          <w:p>
            <w:pPr>
              <w:jc w:val="center"/>
              <w:rPr>
                <w:sz w:val="20"/>
                <w:szCs w:val="20"/>
              </w:rPr>
            </w:pPr>
            <w:r>
              <w:rPr>
                <w:sz w:val="20"/>
                <w:szCs w:val="20"/>
              </w:rPr>
              <w:t xml:space="preserve">990,25</w:t>
            </w:r>
          </w:p>
        </w:tc>
        <w:tc>
          <w:tcPr>
            <w:tcW w:w="607" w:type="pct"/>
            <w:vAlign w:val="center"/>
          </w:tcPr>
          <w:p>
            <w:pPr>
              <w:jc w:val="center"/>
              <w:rPr>
                <w:sz w:val="20"/>
                <w:szCs w:val="20"/>
              </w:rPr>
            </w:pPr>
            <w:r>
              <w:rPr>
                <w:sz w:val="20"/>
                <w:szCs w:val="20"/>
              </w:rPr>
              <w:t xml:space="preserve">90</w:t>
            </w:r>
          </w:p>
        </w:tc>
        <w:tc>
          <w:tcPr>
            <w:tcW w:w="688" w:type="pct"/>
            <w:vAlign w:val="center"/>
          </w:tcPr>
          <w:p>
            <w:pPr>
              <w:jc w:val="center"/>
              <w:rPr>
                <w:sz w:val="20"/>
                <w:szCs w:val="20"/>
              </w:rPr>
            </w:pPr>
            <w:r>
              <w:rPr>
                <w:sz w:val="20"/>
                <w:szCs w:val="20"/>
              </w:rPr>
              <w:t xml:space="preserve">965,34</w:t>
            </w:r>
          </w:p>
        </w:tc>
        <w:tc>
          <w:tcPr>
            <w:tcW w:w="539" w:type="pct"/>
            <w:vAlign w:val="center"/>
          </w:tcPr>
          <w:p>
            <w:pPr>
              <w:jc w:val="center"/>
              <w:rPr>
                <w:sz w:val="20"/>
                <w:szCs w:val="20"/>
              </w:rPr>
            </w:pPr>
            <w:r>
              <w:rPr>
                <w:sz w:val="20"/>
                <w:szCs w:val="20"/>
              </w:rPr>
              <w:t xml:space="preserve">135</w:t>
            </w:r>
          </w:p>
        </w:tc>
        <w:tc>
          <w:tcPr>
            <w:tcW w:w="676" w:type="pct"/>
            <w:vAlign w:val="center"/>
          </w:tcPr>
          <w:p>
            <w:pPr>
              <w:jc w:val="center"/>
              <w:rPr>
                <w:sz w:val="20"/>
                <w:szCs w:val="20"/>
              </w:rPr>
            </w:pPr>
            <w:r>
              <w:rPr>
                <w:sz w:val="20"/>
                <w:szCs w:val="20"/>
              </w:rPr>
              <w:t xml:space="preserve">930,49</w:t>
            </w:r>
          </w:p>
        </w:tc>
        <w:tc>
          <w:tcPr>
            <w:tcW w:w="555" w:type="pct"/>
            <w:vAlign w:val="center"/>
          </w:tcPr>
          <w:p>
            <w:pPr>
              <w:jc w:val="center"/>
              <w:rPr>
                <w:sz w:val="20"/>
                <w:szCs w:val="20"/>
              </w:rPr>
            </w:pPr>
            <w:r>
              <w:rPr>
                <w:sz w:val="20"/>
                <w:szCs w:val="20"/>
              </w:rPr>
              <w:t xml:space="preserve">180</w:t>
            </w:r>
          </w:p>
        </w:tc>
        <w:tc>
          <w:tcPr>
            <w:tcW w:w="651" w:type="pct"/>
            <w:vAlign w:val="center"/>
          </w:tcPr>
          <w:p>
            <w:pPr>
              <w:jc w:val="center"/>
              <w:rPr>
                <w:sz w:val="20"/>
                <w:szCs w:val="20"/>
              </w:rPr>
            </w:pPr>
            <w:r>
              <w:rPr>
                <w:sz w:val="20"/>
                <w:szCs w:val="20"/>
              </w:rPr>
              <w:t xml:space="preserve">886,91</w:t>
            </w:r>
          </w:p>
        </w:tc>
      </w:tr>
      <w:tr>
        <w:tc>
          <w:tcPr>
            <w:tcW w:w="593" w:type="pct"/>
            <w:vAlign w:val="center"/>
          </w:tcPr>
          <w:p>
            <w:pPr>
              <w:jc w:val="center"/>
              <w:rPr>
                <w:sz w:val="20"/>
                <w:szCs w:val="20"/>
              </w:rPr>
            </w:pPr>
            <w:r>
              <w:rPr>
                <w:sz w:val="20"/>
                <w:szCs w:val="20"/>
              </w:rPr>
              <w:t xml:space="preserve">50</w:t>
            </w:r>
          </w:p>
        </w:tc>
        <w:tc>
          <w:tcPr>
            <w:tcW w:w="691" w:type="pct"/>
            <w:vAlign w:val="center"/>
          </w:tcPr>
          <w:p>
            <w:pPr>
              <w:jc w:val="center"/>
              <w:rPr>
                <w:sz w:val="20"/>
                <w:szCs w:val="20"/>
              </w:rPr>
            </w:pPr>
            <w:r>
              <w:rPr>
                <w:sz w:val="20"/>
                <w:szCs w:val="20"/>
              </w:rPr>
              <w:t xml:space="preserve">988,07</w:t>
            </w:r>
          </w:p>
        </w:tc>
        <w:tc>
          <w:tcPr>
            <w:tcW w:w="607" w:type="pct"/>
            <w:vAlign w:val="center"/>
          </w:tcPr>
          <w:p>
            <w:pPr>
              <w:jc w:val="center"/>
              <w:rPr>
                <w:sz w:val="20"/>
                <w:szCs w:val="20"/>
              </w:rPr>
            </w:pPr>
            <w:r>
              <w:rPr>
                <w:sz w:val="20"/>
                <w:szCs w:val="20"/>
              </w:rPr>
              <w:t xml:space="preserve">95</w:t>
            </w:r>
          </w:p>
        </w:tc>
        <w:tc>
          <w:tcPr>
            <w:tcW w:w="688" w:type="pct"/>
            <w:vAlign w:val="center"/>
          </w:tcPr>
          <w:p>
            <w:pPr>
              <w:jc w:val="center"/>
              <w:rPr>
                <w:sz w:val="20"/>
                <w:szCs w:val="20"/>
              </w:rPr>
            </w:pPr>
            <w:r>
              <w:rPr>
                <w:sz w:val="20"/>
                <w:szCs w:val="20"/>
              </w:rPr>
              <w:t xml:space="preserve">961,92</w:t>
            </w:r>
          </w:p>
        </w:tc>
        <w:tc>
          <w:tcPr>
            <w:tcW w:w="539" w:type="pct"/>
            <w:vAlign w:val="center"/>
          </w:tcPr>
          <w:p>
            <w:pPr>
              <w:jc w:val="center"/>
              <w:rPr>
                <w:sz w:val="20"/>
                <w:szCs w:val="20"/>
              </w:rPr>
            </w:pPr>
            <w:r>
              <w:rPr>
                <w:sz w:val="20"/>
                <w:szCs w:val="20"/>
              </w:rPr>
              <w:t xml:space="preserve">140</w:t>
            </w:r>
          </w:p>
        </w:tc>
        <w:tc>
          <w:tcPr>
            <w:tcW w:w="676" w:type="pct"/>
            <w:vAlign w:val="center"/>
          </w:tcPr>
          <w:p>
            <w:pPr>
              <w:jc w:val="center"/>
              <w:rPr>
                <w:sz w:val="20"/>
                <w:szCs w:val="20"/>
              </w:rPr>
            </w:pPr>
            <w:r>
              <w:rPr>
                <w:sz w:val="20"/>
                <w:szCs w:val="20"/>
              </w:rPr>
              <w:t xml:space="preserve">926,10</w:t>
            </w:r>
          </w:p>
        </w:tc>
        <w:tc>
          <w:tcPr>
            <w:tcW w:w="555" w:type="pct"/>
            <w:vAlign w:val="center"/>
          </w:tcPr>
          <w:p>
            <w:pPr>
              <w:jc w:val="center"/>
              <w:rPr>
                <w:sz w:val="20"/>
                <w:szCs w:val="20"/>
              </w:rPr>
            </w:pPr>
          </w:p>
        </w:tc>
        <w:tc>
          <w:tcPr>
            <w:tcW w:w="651" w:type="pct"/>
            <w:vAlign w:val="center"/>
          </w:tcPr>
          <w:p>
            <w:pPr>
              <w:jc w:val="center"/>
              <w:rPr>
                <w:sz w:val="20"/>
                <w:szCs w:val="20"/>
              </w:rPr>
            </w:pPr>
          </w:p>
        </w:tc>
      </w:tr>
    </w:tbl>
    <w:p>
      <w:pPr>
        <w:ind w:left="2520"/>
      </w:pPr>
    </w:p>
    <w:p>
      <w:pPr>
        <w:numPr>
          <w:numId w:val="10"/>
          <w:ilvl w:val="0"/>
        </w:numPr>
        <w:ind w:firstLine="360"/>
      </w:pPr>
      <w: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4" o:spid="_x0000_s144" type="#_x0000_t75" style="width:10.80pt;height:10.80pt;mso-wrap-distance-left:0.00pt;mso-wrap-distance-top:0.00pt;mso-wrap-distance-right:0.00pt;mso-wrap-distance-bottom:0.00pt;" filled="f" stroked="f">
            <v:path textboxrect="0,0,0,0"/>
            <v:imagedata r:id="rId303" o:title=""/>
          </v:shape>
          <o:OLEObject DrawAspect="Content" r:id="rId304" ObjectID="_152504144" ProgID="Equation.3" ShapeID="_x0000_i144" Type="Embed"/>
        </w:object>
      </w:r>
      <w:r>
        <w:t xml:space="preserve"> - коэффициент утечки сетевой воды, (</w:t>
      </w:r>
      <w:r>
        <w:object w:dxaOrig="24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5" o:spid="_x0000_s145" type="#_x0000_t75" style="width:10.80pt;height:10.80pt;mso-wrap-distance-left:0.00pt;mso-wrap-distance-top:0.00pt;mso-wrap-distance-right:0.00pt;mso-wrap-distance-bottom:0.00pt;" filled="f" stroked="f">
            <v:path textboxrect="0,0,0,0"/>
            <v:imagedata r:id="rId305" o:title=""/>
          </v:shape>
          <o:OLEObject DrawAspect="Content" r:id="rId306" ObjectID="_152504145" ProgID="Equation.3" ShapeID="_x0000_i145" Type="Embed"/>
        </w:object>
      </w:r>
      <w:r>
        <w:t xml:space="preserve">=1); </w:t>
      </w:r>
    </w:p>
    <w:p>
      <w:pPr>
        <w:numPr>
          <w:numId w:val="10"/>
          <w:ilvl w:val="0"/>
        </w:numPr>
        <w:ind w:firstLine="360"/>
      </w:pPr>
      <w:r>
        <w:object w:dxaOrig="26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6" o:spid="_x0000_s146" type="#_x0000_t75" style="width:10.80pt;height:10.80pt;mso-wrap-distance-left:0.00pt;mso-wrap-distance-top:0.00pt;mso-wrap-distance-right:0.00pt;mso-wrap-distance-bottom:0.00pt;" filled="f" stroked="f">
            <v:path textboxrect="0,0,0,0"/>
            <v:imagedata r:id="rId307" o:title=""/>
          </v:shape>
          <o:OLEObject DrawAspect="Content" r:id="rId308" ObjectID="_152504146" ProgID="Equation.3" ShapeID="_x0000_i146" Type="Embed"/>
        </w:object>
      </w:r>
      <w:r>
        <w:t xml:space="preserve"> - площадь отверстия (свища, сбросного устройства), через которое происходит утечка, (см2);</w:t>
      </w:r>
    </w:p>
    <w:p>
      <w:pPr>
        <w:numPr>
          <w:numId w:val="10"/>
          <w:ilvl w:val="0"/>
        </w:numPr>
        <w:ind w:firstLine="360"/>
      </w:pPr>
      <w:r>
        <w:object w:dxaOrig="22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7" o:spid="_x0000_s147" type="#_x0000_t75" style="width:10.40pt;height:10.80pt;mso-wrap-distance-left:0.00pt;mso-wrap-distance-top:0.00pt;mso-wrap-distance-right:0.00pt;mso-wrap-distance-bottom:0.00pt;" filled="f" stroked="f">
            <v:path textboxrect="0,0,0,0"/>
            <v:imagedata r:id="rId309" o:title=""/>
          </v:shape>
          <o:OLEObject DrawAspect="Content" r:id="rId310" ObjectID="_152504147" ProgID="Equation.3" ShapeID="_x0000_i147" Type="Embed"/>
        </w:object>
      </w:r>
      <w:r>
        <w:t xml:space="preserve"> - ускорение свободного падения, (</w:t>
      </w:r>
      <w:r>
        <w:object w:dxaOrig="22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8" o:spid="_x0000_s148" type="#_x0000_t75" style="width:10.40pt;height:10.80pt;mso-wrap-distance-left:0.00pt;mso-wrap-distance-top:0.00pt;mso-wrap-distance-right:0.00pt;mso-wrap-distance-bottom:0.00pt;" filled="f" stroked="f">
            <v:path textboxrect="0,0,0,0"/>
            <v:imagedata r:id="rId311" o:title=""/>
          </v:shape>
          <o:OLEObject DrawAspect="Content" r:id="rId312" ObjectID="_152504148" ProgID="Equation.3" ShapeID="_x0000_i148" Type="Embed"/>
        </w:object>
      </w:r>
      <w:r>
        <w:t xml:space="preserve">=9,81 м/с2);</w:t>
      </w:r>
    </w:p>
    <w:p>
      <w:pPr>
        <w:numPr>
          <w:numId w:val="10"/>
          <w:ilvl w:val="0"/>
        </w:numPr>
        <w:ind w:firstLine="360"/>
      </w:pPr>
      <w:r>
        <w:object w:dxaOrig="420" w:dyaOrig="2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9" o:spid="_x0000_s149" type="#_x0000_t75" style="width:15.80pt;height:10.80pt;mso-wrap-distance-left:0.00pt;mso-wrap-distance-top:0.00pt;mso-wrap-distance-right:0.00pt;mso-wrap-distance-bottom:0.00pt;" filled="f" stroked="f">
            <v:path textboxrect="0,0,0,0"/>
            <v:imagedata r:id="rId313" o:title=""/>
          </v:shape>
          <o:OLEObject DrawAspect="Content" r:id="rId314" ObjectID="_152504149" ProgID="Equation.3" ShapeID="_x0000_i149" Type="Embed"/>
        </w:object>
      </w:r>
      <w:r>
        <w:t xml:space="preserve"> - потеря напора, (мм. вод. ст.);</w:t>
      </w:r>
    </w:p>
    <w:p>
      <w:pPr>
        <w:numPr>
          <w:numId w:val="10"/>
          <w:ilvl w:val="0"/>
        </w:numPr>
        <w:ind w:firstLine="360"/>
      </w:pPr>
      <w:r>
        <w:object w:dxaOrig="3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0" o:spid="_x0000_s150" type="#_x0000_t75" style="width:19.55pt;height:15.80pt;mso-wrap-distance-left:0.00pt;mso-wrap-distance-top:0.00pt;mso-wrap-distance-right:0.00pt;mso-wrap-distance-bottom:0.00pt;" filled="f" stroked="f">
            <v:path textboxrect="0,0,0,0"/>
            <v:imagedata r:id="rId315" o:title=""/>
          </v:shape>
          <o:OLEObject DrawAspect="Content" r:id="rId316" ObjectID="_152504150" ProgID="Equation.3" ShapeID="_x0000_i150" Type="Embed"/>
        </w:object>
      </w:r>
      <w:r>
        <w:t xml:space="preserve"> - период времени, в течение которого происходила утечка, (час).</w:t>
      </w:r>
    </w:p>
    <w:p>
      <w:pPr>
        <w:numPr>
          <w:numId w:val="10"/>
          <w:ilvl w:val="0"/>
        </w:numPr>
        <w:ind w:firstLine="360"/>
      </w:pPr>
      <w:r>
        <w:rPr>
          <w:position w:val="-14"/>
        </w:rPr>
        <w:object w:dxaOrig="3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1" o:spid="_x0000_s151" type="#_x0000_t75" style="width:15.80pt;height:15.80pt;mso-wrap-distance-left:0.00pt;mso-wrap-distance-top:0.00pt;mso-wrap-distance-right:0.00pt;mso-wrap-distance-bottom:0.00pt;" filled="f" stroked="f">
            <v:path textboxrect="0,0,0,0"/>
            <v:imagedata r:id="rId317" o:title=""/>
          </v:shape>
          <o:OLEObject DrawAspect="Content" r:id="rId318" ObjectID="_152504151" ProgID="Equation.3" ShapeID="_x0000_i151" Type="Embed"/>
        </w:object>
      </w:r>
      <w:r>
        <w:t xml:space="preserve">- стоимость подпиточной воды, (</w:t>
      </w:r>
      <w:r>
        <w:t xml:space="preserve">руб</w:t>
      </w:r>
      <w:r>
        <w:t xml:space="preserve">/т);</w:t>
      </w:r>
    </w:p>
    <w:p>
      <w:pPr>
        <w:numPr>
          <w:numId w:val="10"/>
          <w:ilvl w:val="0"/>
        </w:numPr>
        <w:ind w:firstLine="360"/>
      </w:pPr>
      <w:r>
        <w:rPr>
          <w:position w:val="-12"/>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2" o:spid="_x0000_s152" type="#_x0000_t75" style="width:24.55pt;height:19.55pt;mso-wrap-distance-left:0.00pt;mso-wrap-distance-top:0.00pt;mso-wrap-distance-right:0.00pt;mso-wrap-distance-bottom:0.00pt;" filled="f" stroked="f">
            <v:path textboxrect="0,0,0,0"/>
            <v:imagedata r:id="rId319" o:title=""/>
          </v:shape>
          <o:OLEObject DrawAspect="Content" r:id="rId320" ObjectID="_152504152" ProgID="Equation.3" ShapeID="_x0000_i152" Type="Embed"/>
        </w:object>
      </w:r>
      <w:r>
        <w:t xml:space="preserve"> - тариф на тепловую энергию, (</w:t>
      </w:r>
      <w:r>
        <w:t xml:space="preserve">руб</w:t>
      </w:r>
      <w:r>
        <w:t xml:space="preserve">/Гкал).</w:t>
      </w:r>
    </w:p>
    <w:p>
      <w:pPr>
        <w:pStyle w:val="1"/>
        <w:numPr>
          <w:numId w:val="13"/>
          <w:ilvl w:val="1"/>
        </w:numPr>
        <w:spacing w:before="120" w:after="120"/>
        <w:rPr>
          <w:bCs w:val="0"/>
        </w:rPr>
      </w:pPr>
      <w:bookmarkStart w:id="185" w:name="_Toc309304233"/>
      <w:bookmarkStart w:id="186" w:name="_Toc488848721"/>
      <w:bookmarkStart w:id="187" w:name="_Toc490640175"/>
      <w:bookmarkStart w:id="188" w:name="_Toc490640204"/>
      <w:bookmarkStart w:id="189" w:name="_Toc10707091"/>
      <w:r>
        <w:rPr>
          <w:bCs w:val="0"/>
        </w:rPr>
        <w:t xml:space="preserve">Возвратные суммы </w:t>
      </w:r>
      <w:r>
        <w:rPr>
          <w:b w:val="0"/>
          <w:bCs w:val="0"/>
          <w:i/>
        </w:rPr>
        <w:t xml:space="preserve">(</w:t>
      </w:r>
      <w:r>
        <w:rPr>
          <w:b w:val="0"/>
          <w:bCs w:val="0"/>
          <w:i/>
          <w:lang w:val="en-US"/>
        </w:rPr>
        <w:t xml:space="preserve">S</w:t>
      </w:r>
      <w:r>
        <w:rPr>
          <w:b w:val="0"/>
          <w:bCs w:val="0"/>
          <w:i/>
          <w:vertAlign w:val="subscript"/>
        </w:rPr>
        <w:t xml:space="preserve">ВОЗ</w:t>
      </w:r>
      <w:r>
        <w:rPr>
          <w:b w:val="0"/>
          <w:bCs w:val="0"/>
          <w:i/>
        </w:rPr>
        <w:t xml:space="preserve">)</w:t>
      </w:r>
      <w:bookmarkEnd w:id="185"/>
      <w:bookmarkEnd w:id="186"/>
      <w:bookmarkEnd w:id="187"/>
      <w:bookmarkEnd w:id="188"/>
      <w:bookmarkEnd w:id="189"/>
    </w:p>
    <w:p>
      <w:pPr>
        <w:ind w:left="1" w:hanging="1"/>
        <w:jc w:val="both"/>
      </w:pPr>
      <w:r>
        <w:t xml:space="preserve">Складываются из страховых возмещений, стоимости реализации возвратных отходов, суммы платежей и штрафов третьих лиц по вине которых произошли аварии и нарушения в работе оборудования и прочее.</w:t>
      </w:r>
    </w:p>
    <w:p>
      <w:pPr>
        <w:pStyle w:val="1"/>
        <w:numPr>
          <w:numId w:val="38"/>
          <w:ilvl w:val="0"/>
        </w:numPr>
        <w:spacing w:before="120" w:after="120"/>
        <w:ind w:left="538" w:hanging="357"/>
        <w:jc w:val="both"/>
        <w:rPr>
          <w:bCs w:val="0"/>
        </w:rPr>
      </w:pPr>
      <w:bookmarkStart w:id="190" w:name="_Toc488848722"/>
      <w:bookmarkStart w:id="191" w:name="_Toc490640176"/>
      <w:bookmarkStart w:id="192" w:name="_Toc490640205"/>
      <w:bookmarkStart w:id="193" w:name="_Toc309304234"/>
      <w:bookmarkStart w:id="194" w:name="_Toc10707092"/>
      <w:bookmarkEnd w:id="4"/>
      <w:bookmarkEnd w:id="5"/>
      <w:bookmarkEnd w:id="6"/>
      <w:bookmarkEnd w:id="7"/>
      <w:r>
        <w:rPr>
          <w:bCs w:val="0"/>
        </w:rPr>
        <w:t xml:space="preserve">ФОРМИРОВАНИЕ ОТЧЕТНОСТИ</w:t>
      </w:r>
      <w:bookmarkEnd w:id="190"/>
      <w:bookmarkEnd w:id="191"/>
      <w:bookmarkEnd w:id="192"/>
      <w:r>
        <w:rPr>
          <w:bCs w:val="0"/>
        </w:rPr>
        <w:t xml:space="preserve"> </w:t>
      </w:r>
      <w:bookmarkEnd w:id="193"/>
      <w:r>
        <w:rPr>
          <w:bCs w:val="0"/>
        </w:rPr>
        <w:t xml:space="preserve">И ОРГАНИЗАЦИЯ РАССЛЕДОВАНИЯ</w:t>
      </w:r>
      <w:bookmarkEnd w:id="194"/>
    </w:p>
    <w:p>
      <w:pPr>
        <w:pStyle w:val="aff4"/>
        <w:numPr>
          <w:numId w:val="33"/>
          <w:ilvl w:val="0"/>
        </w:numPr>
        <w:ind w:left="0" w:firstLine="0"/>
        <w:jc w:val="both"/>
      </w:pPr>
      <w:r>
        <w:t xml:space="preserve">Отчет по экономическому ущербу</w:t>
      </w:r>
      <w:r>
        <w:t xml:space="preserve"> (п. 4.4. Методики)</w:t>
      </w:r>
      <w:r>
        <w:t xml:space="preserve"> формируется ответственным работником </w:t>
      </w:r>
      <w:r>
        <w:t xml:space="preserve">филиала</w:t>
      </w:r>
      <w:r>
        <w:t xml:space="preserve">, назначаемым в соответствии с п.4.</w:t>
      </w:r>
      <w:r>
        <w:t xml:space="preserve">3 </w:t>
      </w:r>
      <w:r>
        <w:t xml:space="preserve">Методики, </w:t>
      </w:r>
      <w:r>
        <w:t xml:space="preserve">согласно приложению </w:t>
      </w:r>
      <w:r>
        <w:t xml:space="preserve">2 в срок до 20 числа месяца, следующего за отчетным. </w:t>
      </w:r>
      <w:r>
        <w:t xml:space="preserve">Окончательные отчеты должны формироваться с учётом данных предоставляемых АО «СО ЕЭС» в адрес участников ОРЭМ по итогам отчётного периода (месяц), персоналом филиалов</w:t>
      </w:r>
      <w:r>
        <w:t xml:space="preserve">,</w:t>
      </w:r>
      <w:r>
        <w:t xml:space="preserve"> с обеспечением согласования Блоком трейдинга </w:t>
      </w:r>
      <w:r>
        <w:t xml:space="preserve">Управляющей организации</w:t>
      </w:r>
      <w:r>
        <w:t xml:space="preserve">.</w:t>
      </w:r>
    </w:p>
    <w:p>
      <w:pPr>
        <w:pStyle w:val="aff4"/>
        <w:numPr>
          <w:numId w:val="33"/>
          <w:ilvl w:val="0"/>
        </w:numPr>
        <w:spacing w:before="60"/>
        <w:ind w:left="0" w:firstLine="0"/>
        <w:jc w:val="both"/>
      </w:pPr>
      <w:r>
        <w:t xml:space="preserve">Повреждения энергооборудования теплоснабжающих организаций, произошедшие при проведении гидравлических испытаний на прочность и плотность (события, не подпадающие под п.5 настоящей Методики) в </w:t>
      </w:r>
      <w:r>
        <w:t xml:space="preserve">межотопительный</w:t>
      </w:r>
      <w:r>
        <w:t xml:space="preserve"> период, учитываются по форме согласно </w:t>
      </w:r>
      <w:r>
        <w:t xml:space="preserve">п</w:t>
      </w:r>
      <w:r>
        <w:t xml:space="preserve">риложению 3 без оформления акта расследования. Экономический ущерб (затраты) по данным событиям рассчитывается согласно п.6 настоящей Методики. </w:t>
      </w:r>
    </w:p>
    <w:p>
      <w:pPr>
        <w:pStyle w:val="aff4"/>
        <w:numPr>
          <w:numId w:val="33"/>
          <w:ilvl w:val="0"/>
        </w:numPr>
        <w:spacing w:before="60"/>
        <w:ind w:left="0" w:firstLine="0"/>
        <w:jc w:val="both"/>
      </w:pPr>
      <w:r>
        <w:t xml:space="preserve">Информация согласно п.7.1 и п.7.2 Методики ежемесячно и в целом за год нарастающим итогом направляется ответственным работником ДО в адрес Блока производственной деятельности ПАО</w:t>
      </w:r>
      <w:r>
        <w:t xml:space="preserve"> </w:t>
      </w:r>
      <w:r>
        <w:t xml:space="preserve">«Интер РАО» в течение двух дней после формирования в установленном порядке отчета. Информация в разрезе составляющих экономического ущерба по каждому событию отражается по состоянию на конец отчетного месяца/года.</w:t>
      </w:r>
    </w:p>
    <w:p>
      <w:pPr>
        <w:pStyle w:val="aff4"/>
        <w:numPr>
          <w:numId w:val="33"/>
          <w:ilvl w:val="0"/>
        </w:numPr>
        <w:spacing w:before="60"/>
        <w:ind w:left="0" w:firstLine="0"/>
        <w:jc w:val="both"/>
      </w:pPr>
      <w:r>
        <w:t xml:space="preserve">При формировании </w:t>
      </w:r>
      <w:r>
        <w:t xml:space="preserve">информации согласно приложению </w:t>
      </w:r>
      <w:r>
        <w:t xml:space="preserve">2 используются данные результатов расследования причин аварий и нарушений в работе энергооборудования.</w:t>
      </w:r>
    </w:p>
    <w:p>
      <w:pPr>
        <w:pStyle w:val="aff4"/>
        <w:numPr>
          <w:numId w:val="33"/>
          <w:ilvl w:val="0"/>
        </w:numPr>
        <w:ind w:left="0" w:firstLine="0"/>
        <w:jc w:val="both"/>
      </w:pPr>
      <w:r>
        <w:t xml:space="preserve">Все события, изложенные в п.5 настоящей Методики, подлежат расследованию в порядке, устанавливаемом НПА и (или) ВНД </w:t>
      </w:r>
      <w:r>
        <w:t xml:space="preserve">Общества </w:t>
      </w:r>
      <w:r>
        <w:t xml:space="preserve">о порядке проведения расследований, с определением технических и организационных причин, а также разработкой организационных и технически</w:t>
      </w:r>
      <w:r>
        <w:t xml:space="preserve">х противоаварийных мероприятий.</w:t>
      </w:r>
    </w:p>
    <w:p>
      <w:pPr>
        <w:pStyle w:val="aff4"/>
        <w:numPr>
          <w:numId w:val="33"/>
          <w:ilvl w:val="0"/>
        </w:numPr>
        <w:spacing w:before="60"/>
        <w:ind w:left="0" w:firstLine="0"/>
        <w:jc w:val="both"/>
      </w:pPr>
      <w:r>
        <w:t xml:space="preserve">Все события, изложенные в п. 5 настоящей Методики (события корпоративного учёта), подразделяются на события «официального учета» (далее БА), требования о расследовании которых установлены государственными нормативными документами, а также на события «особого учета» (внутренний учет, далее ОУ), требования о расследовании которых, устанавливаются настоящей Методикой.</w:t>
      </w:r>
    </w:p>
    <w:p>
      <w:pPr>
        <w:pStyle w:val="aff4"/>
        <w:numPr>
          <w:numId w:val="33"/>
          <w:ilvl w:val="0"/>
        </w:numPr>
        <w:spacing w:before="60"/>
        <w:ind w:left="0" w:firstLine="0"/>
        <w:jc w:val="both"/>
      </w:pPr>
      <w:r>
        <w:t xml:space="preserve">Для событий «особого учета» классификация кодов по виду оборудования, по организационным и техническим причинам должна соответствовать кодам, установленным в соответствующих государственных НПА. Рекомендуемая форма акта расследования приведена в приложении 4.</w:t>
      </w:r>
    </w:p>
    <w:p>
      <w:pPr>
        <w:pStyle w:val="aff4"/>
        <w:numPr>
          <w:numId w:val="33"/>
          <w:ilvl w:val="0"/>
        </w:numPr>
        <w:spacing w:before="60"/>
        <w:ind w:left="0" w:firstLine="0"/>
        <w:jc w:val="both"/>
      </w:pPr>
      <w:r>
        <w:t xml:space="preserve">Все факты фиксации снижения объемов поставляемой мощности (объем недопоставки), определенные в соответствии с фактическими данными, предоставляемыми АО «СО ЕЭС» в </w:t>
      </w:r>
      <w:r>
        <w:t xml:space="preserve">адрес участников ОРЭМ по итогам отчётного периода (месяц), должны быть проанализированы на предмет отнесения к событиям корпоративного учета, указанным в п.5 настоящей Методики. </w:t>
      </w:r>
    </w:p>
    <w:p>
      <w:pPr>
        <w:pStyle w:val="aff4"/>
        <w:numPr>
          <w:numId w:val="33"/>
          <w:ilvl w:val="0"/>
        </w:numPr>
        <w:spacing w:before="60"/>
        <w:ind w:left="0" w:firstLine="0"/>
        <w:jc w:val="both"/>
      </w:pPr>
      <w:r>
        <w:t xml:space="preserve">Управляющей организацией</w:t>
      </w:r>
      <w:r>
        <w:t xml:space="preserve"> обеспечивается контроль исполнения настоящей Методики, достоверности и соответствия представляемых отчетных сведений со стороны </w:t>
      </w:r>
      <w:r>
        <w:t xml:space="preserve">филиалов</w:t>
      </w:r>
      <w:r>
        <w:t xml:space="preserve"> </w:t>
      </w:r>
      <w:r>
        <w:t xml:space="preserve">и </w:t>
      </w:r>
      <w:r>
        <w:t xml:space="preserve">дочерних организаций Общества</w:t>
      </w:r>
      <w:r>
        <w:t xml:space="preserve">.</w:t>
      </w:r>
    </w:p>
    <w:p>
      <w:pPr>
        <w:pStyle w:val="aff4"/>
        <w:spacing w:before="60"/>
        <w:ind w:left="0"/>
        <w:jc w:val="both"/>
      </w:pPr>
    </w:p>
    <w:p>
      <w:pPr>
        <w:pStyle w:val="1"/>
        <w:numPr>
          <w:numId w:val="38"/>
          <w:ilvl w:val="0"/>
        </w:numPr>
        <w:spacing w:after="120"/>
        <w:jc w:val="both"/>
        <w:rPr>
          <w:bCs w:val="0"/>
        </w:rPr>
      </w:pPr>
      <w:bookmarkStart w:id="195" w:name="_Toc10707093"/>
      <w:r>
        <w:rPr>
          <w:bCs w:val="0"/>
        </w:rPr>
        <w:t xml:space="preserve">НОРМАТИВНЫЕ ССЫЛКИ</w:t>
      </w:r>
      <w:bookmarkEnd w:id="195"/>
    </w:p>
    <w:p>
      <w:pPr>
        <w:pStyle w:val="m3"/>
        <w:numPr>
          <w:numId w:val="36"/>
          <w:ilvl w:val="1"/>
        </w:numPr>
        <w:tabs>
          <w:tab w:val="clear" w:pos="1440"/>
        </w:tabs>
        <w:rPr>
          <w:lang w:val="ru-RU"/>
        </w:rPr>
      </w:pPr>
      <w:r>
        <w:rPr>
          <w:lang w:val="ru-RU"/>
        </w:rPr>
        <w:t xml:space="preserve">Внешние нормативные документы</w:t>
      </w:r>
    </w:p>
    <w:tbl>
      <w:tblPr>
        <w:tblW w:w="9923" w:type="dxa"/>
        <w:tblInd w:w="-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top w:w="17" w:type="dxa"/>
          <w:right w:w="28" w:type="dxa"/>
          <w:bottom w:w="17" w:type="dxa"/>
        </w:tblCellMar>
        <w:tblLook w:val="0000" w:firstRow="0" w:lastRow="0" w:firstColumn="0" w:lastColumn="0" w:noHBand="0" w:noVBand="0"/>
      </w:tblPr>
      <w:tblGrid>
        <w:gridCol w:w="454"/>
        <w:gridCol w:w="2802"/>
        <w:gridCol w:w="6667"/>
      </w:tblGrid>
      <w:tr>
        <w:trPr>
          <w:cantSplit/>
          <w:tblHeader/>
        </w:trPr>
        <w:tc>
          <w:tcPr>
            <w:tcW w:w="454" w:type="dxa"/>
            <w:shd w:val="clear" w:color="auto" w:fill="d9d9d9"/>
            <w:vAlign w:val="center"/>
          </w:tcPr>
          <w:p>
            <w:pPr>
              <w:pStyle w:val="m6"/>
            </w:pPr>
            <w:r>
              <w:t xml:space="preserve">№ п/п</w:t>
            </w:r>
          </w:p>
        </w:tc>
        <w:tc>
          <w:tcPr>
            <w:tcW w:w="2802" w:type="dxa"/>
            <w:shd w:val="clear" w:color="auto" w:fill="d9d9d9"/>
            <w:vAlign w:val="center"/>
          </w:tcPr>
          <w:p>
            <w:pPr>
              <w:pStyle w:val="m6"/>
            </w:pPr>
            <w:r>
              <w:t xml:space="preserve">Номер и Дата документа*</w:t>
            </w:r>
          </w:p>
        </w:tc>
        <w:tc>
          <w:tcPr>
            <w:tcW w:w="6667" w:type="dxa"/>
            <w:shd w:val="clear" w:color="auto" w:fill="d9d9d9"/>
            <w:vAlign w:val="center"/>
          </w:tcPr>
          <w:p>
            <w:pPr>
              <w:pStyle w:val="m6"/>
            </w:pPr>
            <w:r>
              <w:t xml:space="preserve">Наименование документа</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№35-ФЗ от 26.03.2003 </w:t>
            </w:r>
          </w:p>
        </w:tc>
        <w:tc>
          <w:tcPr>
            <w:tcW w:w="6667" w:type="dxa"/>
            <w:vAlign w:val="center"/>
          </w:tcPr>
          <w:p>
            <w:pPr>
              <w:pStyle w:val="m5"/>
            </w:pPr>
            <w:r>
              <w:t xml:space="preserve">Федеральный закон «Об электроэнергетике»</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№190-ФЗ от 27.07.2010</w:t>
            </w:r>
          </w:p>
        </w:tc>
        <w:tc>
          <w:tcPr>
            <w:tcW w:w="6667" w:type="dxa"/>
            <w:vAlign w:val="center"/>
          </w:tcPr>
          <w:p>
            <w:pPr>
              <w:pStyle w:val="m5"/>
            </w:pPr>
            <w:r>
              <w:t xml:space="preserve">Федеральный закон «О теплоснабжении»</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№116-ФЗ от 21.07.1997</w:t>
            </w:r>
          </w:p>
        </w:tc>
        <w:tc>
          <w:tcPr>
            <w:tcW w:w="6667" w:type="dxa"/>
            <w:vAlign w:val="center"/>
          </w:tcPr>
          <w:p>
            <w:pPr>
              <w:pStyle w:val="m5"/>
            </w:pPr>
            <w:r>
              <w:t xml:space="preserve">Федеральный закон «О промышленной безопасности опасных производственных объектов»</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№117-ФЗ от 21.07.1997</w:t>
            </w:r>
          </w:p>
        </w:tc>
        <w:tc>
          <w:tcPr>
            <w:tcW w:w="6667" w:type="dxa"/>
            <w:vAlign w:val="center"/>
          </w:tcPr>
          <w:p>
            <w:pPr>
              <w:pStyle w:val="m5"/>
            </w:pPr>
            <w:r>
              <w:t xml:space="preserve">Федеральный закон «О безопасности гидротехнических сооружений»</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№7-ФЗ от 10.01.2002</w:t>
            </w:r>
          </w:p>
        </w:tc>
        <w:tc>
          <w:tcPr>
            <w:tcW w:w="6667" w:type="dxa"/>
            <w:vAlign w:val="center"/>
          </w:tcPr>
          <w:p>
            <w:pPr>
              <w:pStyle w:val="m5"/>
            </w:pPr>
            <w:r>
              <w:t xml:space="preserve">Федеральный закон «Об охране окружающей среды»</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№74-ФЗ от 03.06.2006</w:t>
            </w:r>
          </w:p>
        </w:tc>
        <w:tc>
          <w:tcPr>
            <w:tcW w:w="6667" w:type="dxa"/>
            <w:vAlign w:val="center"/>
          </w:tcPr>
          <w:p>
            <w:pPr>
              <w:pStyle w:val="m5"/>
            </w:pPr>
            <w:r>
              <w:t xml:space="preserve">Федеральный закон «Водный кодекс РФ»</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№96-ФЗ от 04.05.1999</w:t>
            </w:r>
          </w:p>
        </w:tc>
        <w:tc>
          <w:tcPr>
            <w:tcW w:w="6667" w:type="dxa"/>
            <w:vAlign w:val="center"/>
          </w:tcPr>
          <w:p>
            <w:pPr>
              <w:pStyle w:val="m5"/>
            </w:pPr>
            <w:r>
              <w:t xml:space="preserve">Федеральный закон «Об охране атмосферного воздуха»</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№89-ФЗ от 24.06.1998</w:t>
            </w:r>
          </w:p>
        </w:tc>
        <w:tc>
          <w:tcPr>
            <w:tcW w:w="6667" w:type="dxa"/>
            <w:vAlign w:val="center"/>
          </w:tcPr>
          <w:p>
            <w:pPr>
              <w:pStyle w:val="m5"/>
            </w:pPr>
            <w:r>
              <w:t xml:space="preserve">Федеральный закон «Об отходах производства и потребления»</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N416-ФЗ от 07.12.2011</w:t>
            </w:r>
          </w:p>
        </w:tc>
        <w:tc>
          <w:tcPr>
            <w:tcW w:w="6667" w:type="dxa"/>
            <w:vAlign w:val="center"/>
          </w:tcPr>
          <w:p>
            <w:pPr>
              <w:pStyle w:val="m5"/>
            </w:pPr>
            <w:r>
              <w:t xml:space="preserve">Федеральный закон «О водоснабжении и водоотведении».</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№115 от 24.03.2003</w:t>
            </w:r>
          </w:p>
        </w:tc>
        <w:tc>
          <w:tcPr>
            <w:tcW w:w="6667" w:type="dxa"/>
            <w:vAlign w:val="center"/>
          </w:tcPr>
          <w:p>
            <w:pPr>
              <w:pStyle w:val="m5"/>
            </w:pPr>
            <w:r>
              <w:t xml:space="preserve">Постановление Правительства «Правила технической эксплуатации тепловых энергоустановок»</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№846 от 28.10.2009</w:t>
            </w:r>
          </w:p>
        </w:tc>
        <w:tc>
          <w:tcPr>
            <w:tcW w:w="6667" w:type="dxa"/>
            <w:vAlign w:val="center"/>
          </w:tcPr>
          <w:p>
            <w:pPr>
              <w:pStyle w:val="m5"/>
            </w:pPr>
            <w:r>
              <w:t xml:space="preserve">Постановление Правительства «</w:t>
            </w:r>
            <w:hyperlink w:tooltip="ПРАВИЛА" w:anchor="Par33" w:history="1">
              <w:r>
                <w:t xml:space="preserve">Правила</w:t>
              </w:r>
            </w:hyperlink>
            <w:r>
              <w:t xml:space="preserve"> расследования причин аварий в электроэнергетике» </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№1114 от 17.10.2015</w:t>
            </w:r>
          </w:p>
        </w:tc>
        <w:tc>
          <w:tcPr>
            <w:tcW w:w="6667" w:type="dxa"/>
            <w:vAlign w:val="center"/>
          </w:tcPr>
          <w:p>
            <w:pPr>
              <w:pStyle w:val="m5"/>
            </w:pPr>
            <w:r>
              <w:t xml:space="preserve">Постановление Правительства «Правила расследования причин аварийных ситуаций при теплоснабжении» </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№937 от 13.08.2018</w:t>
            </w:r>
          </w:p>
        </w:tc>
        <w:tc>
          <w:tcPr>
            <w:tcW w:w="6667" w:type="dxa"/>
            <w:vAlign w:val="center"/>
          </w:tcPr>
          <w:p>
            <w:pPr>
              <w:pStyle w:val="m5"/>
            </w:pPr>
            <w:r>
              <w:t xml:space="preserve">Постановление Правительства «Правил технологического функционирования электроэнергетических систем и о внесении изменений в некоторые акты Правительства Российской Федерации» </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№480 от 19.08.2011</w:t>
            </w:r>
          </w:p>
        </w:tc>
        <w:tc>
          <w:tcPr>
            <w:tcW w:w="6667" w:type="dxa"/>
            <w:vAlign w:val="center"/>
          </w:tcPr>
          <w:p>
            <w:pPr>
              <w:pStyle w:val="m5"/>
            </w:pPr>
            <w:r>
              <w:t xml:space="preserve">Приказ Ростехнадзора «Порядок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№63 от 22.10.2002</w:t>
            </w:r>
          </w:p>
        </w:tc>
        <w:tc>
          <w:tcPr>
            <w:tcW w:w="6667" w:type="dxa"/>
            <w:vAlign w:val="center"/>
          </w:tcPr>
          <w:p>
            <w:pPr>
              <w:pStyle w:val="m5"/>
            </w:pPr>
            <w:r>
              <w:t xml:space="preserve">Постановление Госгортехнадзора России «Методические рекомендации по оценке ущерба от аварий на опасных производственных объектах» (РД 03-496-02)</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 б/н от 25.11.1995</w:t>
            </w:r>
          </w:p>
        </w:tc>
        <w:tc>
          <w:tcPr>
            <w:tcW w:w="6667" w:type="dxa"/>
            <w:vAlign w:val="center"/>
          </w:tcPr>
          <w:p>
            <w:pPr>
              <w:pStyle w:val="m5"/>
            </w:pPr>
            <w:r>
              <w:t xml:space="preserve">Приказ Минтопэнерго Российской Федерации «Методические указания по составлению отчета электростанции и акционерного общества энергетики и электрификации о тепловой экономичности оборудования» (РД 34.08.552-95)</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№87 от 13.04.2009</w:t>
            </w:r>
          </w:p>
        </w:tc>
        <w:tc>
          <w:tcPr>
            <w:tcW w:w="6667" w:type="dxa"/>
            <w:vAlign w:val="center"/>
          </w:tcPr>
          <w:p>
            <w:pPr>
              <w:pStyle w:val="m5"/>
            </w:pPr>
            <w:r>
              <w:t xml:space="preserve">Приказ Минприроды России «Методика исчисления размера вреда, причиненного водным объектам вследствие нарушения водного законодательства» </w:t>
            </w:r>
          </w:p>
        </w:tc>
      </w:tr>
      <w:tr>
        <w:trPr>
          <w:cantSplit/>
          <w:trHeight w:val="284"/>
        </w:trPr>
        <w:tc>
          <w:tcPr>
            <w:tcW w:w="454" w:type="dxa"/>
            <w:vAlign w:val="center"/>
          </w:tcPr>
          <w:p>
            <w:pPr>
              <w:pStyle w:val="m5"/>
              <w:numPr>
                <w:numId w:val="32"/>
                <w:ilvl w:val="0"/>
              </w:numPr>
              <w:ind w:left="426"/>
              <w:jc w:val="center"/>
            </w:pPr>
          </w:p>
        </w:tc>
        <w:tc>
          <w:tcPr>
            <w:tcW w:w="2802" w:type="dxa"/>
            <w:vAlign w:val="center"/>
          </w:tcPr>
          <w:p>
            <w:pPr>
              <w:pStyle w:val="m5"/>
            </w:pPr>
            <w:r>
              <w:t xml:space="preserve">№238 от 08.07.2010</w:t>
            </w:r>
          </w:p>
        </w:tc>
        <w:tc>
          <w:tcPr>
            <w:tcW w:w="6667" w:type="dxa"/>
            <w:vAlign w:val="center"/>
          </w:tcPr>
          <w:p>
            <w:pPr>
              <w:pStyle w:val="m5"/>
            </w:pPr>
            <w:r>
              <w:t xml:space="preserve">Приказ Минприроды России «Методика исчисления размера вреда, причиненного почвам как объекту охраны окружающей среды» </w:t>
            </w:r>
          </w:p>
        </w:tc>
      </w:tr>
    </w:tbl>
    <w:p>
      <w:pPr>
        <w:spacing w:before="60"/>
        <w:jc w:val="both"/>
        <w:rPr>
          <w:sz w:val="22"/>
          <w:szCs w:val="22"/>
        </w:rPr>
      </w:pPr>
      <w:r>
        <w:rPr>
          <w:sz w:val="22"/>
          <w:szCs w:val="22"/>
        </w:rPr>
        <w:t xml:space="preserve">*- при использовании настоящей Методики следует руководствоваться действующими редакциями нормативных документов на момент расследования и выполнения расчета </w:t>
      </w:r>
    </w:p>
    <w:p>
      <w:pPr>
        <w:spacing w:before="60"/>
        <w:jc w:val="both"/>
      </w:pPr>
    </w:p>
    <w:p>
      <w:pPr>
        <w:pStyle w:val="m3"/>
        <w:numPr>
          <w:numId w:val="36"/>
          <w:ilvl w:val="1"/>
        </w:numPr>
        <w:tabs>
          <w:tab w:val="clear" w:pos="1440"/>
        </w:tabs>
        <w:rPr>
          <w:lang w:val="ru-RU"/>
        </w:rPr>
      </w:pPr>
      <w:r>
        <w:rPr>
          <w:lang w:val="ru-RU"/>
        </w:rPr>
        <w:t xml:space="preserve">Внутренние нормативные и организационно-распорядительные документы</w:t>
      </w:r>
    </w:p>
    <w:tbl>
      <w:tblP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top w:w="17" w:type="dxa"/>
          <w:right w:w="28" w:type="dxa"/>
          <w:bottom w:w="17" w:type="dxa"/>
        </w:tblCellMar>
        <w:tblLook w:val="0000" w:firstRow="0" w:lastRow="0" w:firstColumn="0" w:lastColumn="0" w:noHBand="0" w:noVBand="0"/>
      </w:tblPr>
      <w:tblGrid>
        <w:gridCol w:w="357"/>
        <w:gridCol w:w="2980"/>
        <w:gridCol w:w="6581"/>
      </w:tblGrid>
      <w:tr>
        <w:trPr>
          <w:cantSplit/>
          <w:tblHeader/>
        </w:trPr>
        <w:tc>
          <w:tcPr>
            <w:tcW w:w="357" w:type="dxa"/>
            <w:shd w:val="clear" w:color="auto" w:fill="d9d9d9"/>
            <w:vAlign w:val="center"/>
          </w:tcPr>
          <w:p>
            <w:pPr>
              <w:pStyle w:val="m6"/>
            </w:pPr>
            <w:r>
              <w:t xml:space="preserve">№ п/п</w:t>
            </w:r>
          </w:p>
        </w:tc>
        <w:tc>
          <w:tcPr>
            <w:tcW w:w="2980" w:type="dxa"/>
            <w:shd w:val="clear" w:color="auto" w:fill="d9d9d9"/>
            <w:vAlign w:val="center"/>
          </w:tcPr>
          <w:p>
            <w:pPr>
              <w:pStyle w:val="m6"/>
            </w:pPr>
            <w:r>
              <w:t xml:space="preserve">Номер ВНД или Номер ОРД,</w:t>
            </w:r>
          </w:p>
          <w:p>
            <w:pPr>
              <w:pStyle w:val="m6"/>
            </w:pPr>
            <w:r>
              <w:t xml:space="preserve">Дата ОРД</w:t>
            </w:r>
          </w:p>
        </w:tc>
        <w:tc>
          <w:tcPr>
            <w:tcW w:w="6581" w:type="dxa"/>
            <w:shd w:val="clear" w:color="auto" w:fill="d9d9d9"/>
            <w:vAlign w:val="center"/>
          </w:tcPr>
          <w:p>
            <w:pPr>
              <w:pStyle w:val="m6"/>
            </w:pPr>
            <w:r>
              <w:t xml:space="preserve">Наименование документа</w:t>
            </w:r>
          </w:p>
        </w:tc>
      </w:tr>
      <w:tr>
        <w:trPr>
          <w:cantSplit/>
          <w:trHeight w:val="284"/>
        </w:trPr>
        <w:tc>
          <w:tcPr>
            <w:tcW w:w="357" w:type="dxa"/>
            <w:vAlign w:val="center"/>
          </w:tcPr>
          <w:p>
            <w:pPr>
              <w:pStyle w:val="m5"/>
              <w:jc w:val="center"/>
            </w:pPr>
            <w:r>
              <w:t xml:space="preserve">1</w:t>
            </w:r>
          </w:p>
        </w:tc>
        <w:tc>
          <w:tcPr>
            <w:tcW w:w="2980" w:type="dxa"/>
            <w:vAlign w:val="center"/>
          </w:tcPr>
          <w:p>
            <w:pPr>
              <w:pStyle w:val="m5"/>
              <w:jc w:val="center"/>
            </w:pPr>
            <w:r>
              <w:t xml:space="preserve">Методика МТ-528-4</w:t>
            </w:r>
          </w:p>
        </w:tc>
        <w:tc>
          <w:tcPr>
            <w:tcW w:w="6581" w:type="dxa"/>
            <w:vAlign w:val="center"/>
          </w:tcPr>
          <w:p>
            <w:pPr>
              <w:pStyle w:val="m5"/>
              <w:jc w:val="both"/>
            </w:pPr>
            <w:r>
              <w:t xml:space="preserve">Техническое расследование причин аварий, инцидентов на опасных производственных объектах и гидротехнических сооружениях и аварий на объектах электроэнергетики филиалов АО «Интер РАО – </w:t>
            </w:r>
            <w:r>
              <w:t xml:space="preserve">Электрогенерация</w:t>
            </w:r>
            <w:r>
              <w:t xml:space="preserve">»</w:t>
            </w:r>
          </w:p>
        </w:tc>
      </w:tr>
      <w:tr>
        <w:trPr>
          <w:cantSplit/>
          <w:trHeight w:val="284"/>
        </w:trPr>
        <w:tc>
          <w:tcPr>
            <w:tcW w:w="357" w:type="dxa"/>
            <w:vAlign w:val="center"/>
          </w:tcPr>
          <w:p>
            <w:pPr>
              <w:pStyle w:val="m5"/>
              <w:jc w:val="center"/>
            </w:pPr>
            <w:r>
              <w:t xml:space="preserve">2</w:t>
            </w:r>
          </w:p>
        </w:tc>
        <w:tc>
          <w:tcPr>
            <w:tcW w:w="2980" w:type="dxa"/>
            <w:vAlign w:val="center"/>
          </w:tcPr>
          <w:p>
            <w:pPr>
              <w:pStyle w:val="m5"/>
              <w:jc w:val="center"/>
            </w:pPr>
            <w:r>
              <w:t xml:space="preserve">Методика МТ-014-6</w:t>
            </w:r>
          </w:p>
        </w:tc>
        <w:tc>
          <w:tcPr>
            <w:tcW w:w="6581" w:type="dxa"/>
            <w:vAlign w:val="center"/>
          </w:tcPr>
          <w:p>
            <w:pPr>
              <w:pStyle w:val="m5"/>
              <w:jc w:val="both"/>
            </w:pPr>
            <w:r>
              <w:t xml:space="preserve">Передача оперативной информации о происшествиях в филиалах Управляемых обществ</w:t>
            </w:r>
          </w:p>
        </w:tc>
      </w:tr>
      <w:tr>
        <w:trPr>
          <w:cantSplit/>
          <w:trHeight w:val="284"/>
        </w:trPr>
        <w:tc>
          <w:tcPr>
            <w:tcW w:w="357" w:type="dxa"/>
            <w:vAlign w:val="center"/>
          </w:tcPr>
          <w:p>
            <w:pPr>
              <w:pStyle w:val="m5"/>
              <w:jc w:val="center"/>
            </w:pPr>
            <w:r>
              <w:t xml:space="preserve">3</w:t>
            </w:r>
          </w:p>
        </w:tc>
        <w:tc>
          <w:tcPr>
            <w:tcW w:w="2980" w:type="dxa"/>
            <w:vAlign w:val="center"/>
          </w:tcPr>
          <w:p>
            <w:pPr>
              <w:pStyle w:val="m5"/>
              <w:jc w:val="center"/>
            </w:pPr>
            <w:r>
              <w:t xml:space="preserve">Распоряжение от 13.07.2015 № ИРАО/14-р</w:t>
            </w:r>
          </w:p>
        </w:tc>
        <w:tc>
          <w:tcPr>
            <w:tcW w:w="6581" w:type="dxa"/>
            <w:vAlign w:val="center"/>
          </w:tcPr>
          <w:p>
            <w:pPr>
              <w:pStyle w:val="m5"/>
              <w:jc w:val="both"/>
            </w:pPr>
            <w:r>
              <w:t xml:space="preserve">Методические рекомендации «Расследование технологических нарушений, связанных с ошибками персонала».</w:t>
            </w:r>
          </w:p>
        </w:tc>
      </w:tr>
    </w:tbl>
    <w:p>
      <w:pPr>
        <w:spacing w:before="60"/>
        <w:ind w:left="567" w:hanging="567"/>
        <w:jc w:val="both"/>
      </w:pPr>
    </w:p>
    <w:p>
      <w:pPr>
        <w:pStyle w:val="1"/>
        <w:numPr>
          <w:numId w:val="38"/>
          <w:ilvl w:val="0"/>
        </w:numPr>
        <w:spacing w:after="120"/>
        <w:jc w:val="both"/>
        <w:rPr>
          <w:bCs w:val="0"/>
        </w:rPr>
      </w:pPr>
      <w:bookmarkStart w:id="196" w:name="_Toc10707094"/>
      <w:r>
        <w:rPr>
          <w:bCs w:val="0"/>
        </w:rPr>
        <w:t xml:space="preserve">КОНТРОЛЬ ВЕРСИЙ ДОКУМЕНТА</w:t>
      </w:r>
      <w:bookmarkEnd w:id="196"/>
    </w:p>
    <w:tbl>
      <w:tblPr>
        <w:tblW w:w="9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top w:w="17" w:type="dxa"/>
          <w:right w:w="28" w:type="dxa"/>
          <w:bottom w:w="17" w:type="dxa"/>
        </w:tblCellMar>
        <w:tblLook w:val="0000" w:firstRow="0" w:lastRow="0" w:firstColumn="0" w:lastColumn="0" w:noHBand="0" w:noVBand="0"/>
      </w:tblPr>
      <w:tblGrid>
        <w:gridCol w:w="795"/>
        <w:gridCol w:w="1057"/>
        <w:gridCol w:w="5798"/>
        <w:gridCol w:w="2268"/>
      </w:tblGrid>
      <w:tr>
        <w:trPr>
          <w:cantSplit/>
          <w:tblHeader/>
        </w:trPr>
        <w:tc>
          <w:tcPr>
            <w:tcW w:w="795" w:type="dxa"/>
            <w:shd w:val="clear" w:color="auto" w:fill="d9d9d9"/>
            <w:vAlign w:val="center"/>
          </w:tcPr>
          <w:p>
            <w:pPr>
              <w:pStyle w:val="m6"/>
            </w:pPr>
            <w:r>
              <w:t xml:space="preserve">Номер версии</w:t>
            </w:r>
          </w:p>
        </w:tc>
        <w:tc>
          <w:tcPr>
            <w:tcW w:w="1057" w:type="dxa"/>
            <w:shd w:val="clear" w:color="auto" w:fill="d9d9d9"/>
            <w:vAlign w:val="center"/>
          </w:tcPr>
          <w:p>
            <w:pPr>
              <w:pStyle w:val="m6"/>
            </w:pPr>
            <w:r>
              <w:t xml:space="preserve">Дата создания версии</w:t>
            </w:r>
          </w:p>
        </w:tc>
        <w:tc>
          <w:tcPr>
            <w:tcW w:w="5798" w:type="dxa"/>
            <w:shd w:val="clear" w:color="auto" w:fill="d9d9d9"/>
            <w:vAlign w:val="center"/>
          </w:tcPr>
          <w:p>
            <w:pPr>
              <w:pStyle w:val="m6"/>
            </w:pPr>
            <w:r>
              <w:t xml:space="preserve">Должность Ответственного за разработку ВНД</w:t>
            </w:r>
          </w:p>
        </w:tc>
        <w:tc>
          <w:tcPr>
            <w:tcW w:w="2268" w:type="dxa"/>
            <w:shd w:val="clear" w:color="auto" w:fill="d9d9d9"/>
            <w:vAlign w:val="center"/>
          </w:tcPr>
          <w:p>
            <w:pPr>
              <w:pStyle w:val="m6"/>
            </w:pPr>
            <w:r>
              <w:t xml:space="preserve">ФИО Ответственного за разработку ВНД</w:t>
            </w:r>
          </w:p>
        </w:tc>
      </w:tr>
      <w:tr>
        <w:trPr>
          <w:cantSplit/>
          <w:trHeight w:val="284"/>
        </w:trPr>
        <w:tc>
          <w:tcPr>
            <w:tcW w:w="795" w:type="dxa"/>
            <w:vAlign w:val="center"/>
          </w:tcPr>
          <w:p>
            <w:pPr>
              <w:pStyle w:val="m5"/>
              <w:jc w:val="center"/>
            </w:pPr>
            <w:r>
              <w:t xml:space="preserve">1</w:t>
            </w:r>
          </w:p>
        </w:tc>
        <w:tc>
          <w:tcPr>
            <w:tcW w:w="1057" w:type="dxa"/>
            <w:vAlign w:val="center"/>
          </w:tcPr>
          <w:p>
            <w:pPr>
              <w:pStyle w:val="m5"/>
            </w:pPr>
            <w:r>
              <w:t xml:space="preserve">20.11.2012</w:t>
            </w:r>
          </w:p>
        </w:tc>
        <w:tc>
          <w:tcPr>
            <w:tcW w:w="5798" w:type="dxa"/>
            <w:vAlign w:val="center"/>
          </w:tcPr>
          <w:p>
            <w:pPr>
              <w:pStyle w:val="m5"/>
            </w:pPr>
            <w:r>
              <w:t xml:space="preserve">Главный эксперт Отдела охраны труда и промышленной безопасности</w:t>
            </w:r>
          </w:p>
        </w:tc>
        <w:tc>
          <w:tcPr>
            <w:tcW w:w="2268" w:type="dxa"/>
            <w:vAlign w:val="center"/>
          </w:tcPr>
          <w:p>
            <w:pPr>
              <w:pStyle w:val="m5"/>
            </w:pPr>
            <w:r>
              <w:t xml:space="preserve">Горбунов Д. Ю.</w:t>
            </w:r>
          </w:p>
        </w:tc>
      </w:tr>
      <w:tr>
        <w:trPr>
          <w:cantSplit/>
          <w:trHeight w:val="284"/>
        </w:trPr>
        <w:tc>
          <w:tcPr>
            <w:tcW w:w="795" w:type="dxa"/>
            <w:vAlign w:val="center"/>
          </w:tcPr>
          <w:p>
            <w:pPr>
              <w:pStyle w:val="m5"/>
              <w:jc w:val="center"/>
            </w:pPr>
            <w:r>
              <w:t xml:space="preserve">2</w:t>
            </w:r>
          </w:p>
        </w:tc>
        <w:tc>
          <w:tcPr>
            <w:tcW w:w="1057" w:type="dxa"/>
            <w:vAlign w:val="center"/>
          </w:tcPr>
          <w:p>
            <w:pPr>
              <w:pStyle w:val="m5"/>
            </w:pPr>
            <w:r>
              <w:t xml:space="preserve">02.10.2017</w:t>
            </w:r>
          </w:p>
        </w:tc>
        <w:tc>
          <w:tcPr>
            <w:tcW w:w="5798" w:type="dxa"/>
            <w:vAlign w:val="center"/>
          </w:tcPr>
          <w:p>
            <w:pPr>
              <w:pStyle w:val="m5"/>
            </w:pPr>
            <w:r>
              <w:t xml:space="preserve">Главный эксперт Отдела охраны труда и промышленной безопасности</w:t>
            </w:r>
          </w:p>
        </w:tc>
        <w:tc>
          <w:tcPr>
            <w:tcW w:w="2268" w:type="dxa"/>
            <w:vAlign w:val="center"/>
          </w:tcPr>
          <w:p>
            <w:pPr>
              <w:pStyle w:val="m5"/>
            </w:pPr>
            <w:r>
              <w:t xml:space="preserve">Червонный А. В.</w:t>
            </w:r>
          </w:p>
        </w:tc>
      </w:tr>
      <w:tr>
        <w:trPr>
          <w:cantSplit/>
          <w:trHeight w:val="284"/>
        </w:trPr>
        <w:tc>
          <w:tcPr>
            <w:tcW w:w="795" w:type="dxa"/>
            <w:vAlign w:val="center"/>
          </w:tcPr>
          <w:p>
            <w:pPr>
              <w:pStyle w:val="m5"/>
              <w:jc w:val="center"/>
            </w:pPr>
            <w:r>
              <w:t xml:space="preserve">3</w:t>
            </w:r>
          </w:p>
        </w:tc>
        <w:tc>
          <w:tcPr>
            <w:tcW w:w="1057" w:type="dxa"/>
            <w:vAlign w:val="center"/>
          </w:tcPr>
          <w:p>
            <w:pPr>
              <w:pStyle w:val="m5"/>
            </w:pPr>
            <w:r>
              <w:t xml:space="preserve">22.05.2019</w:t>
            </w:r>
          </w:p>
        </w:tc>
        <w:tc>
          <w:tcPr>
            <w:tcW w:w="5798" w:type="dxa"/>
            <w:vAlign w:val="center"/>
          </w:tcPr>
          <w:p>
            <w:pPr>
              <w:pStyle w:val="m5"/>
            </w:pPr>
            <w:r>
              <w:t xml:space="preserve">Главный эксперт Отдела охраны труда и промышленной безопасности</w:t>
            </w:r>
          </w:p>
        </w:tc>
        <w:tc>
          <w:tcPr>
            <w:tcW w:w="2268" w:type="dxa"/>
            <w:vAlign w:val="center"/>
          </w:tcPr>
          <w:p>
            <w:pPr>
              <w:pStyle w:val="m5"/>
            </w:pPr>
            <w:r>
              <w:t xml:space="preserve">Смирнов К. М.</w:t>
            </w:r>
          </w:p>
        </w:tc>
      </w:tr>
    </w:tbl>
    <w:p>
      <w:bookmarkStart w:id="197" w:name="_Toc488848724"/>
      <w:bookmarkStart w:id="198" w:name="_Toc490640178"/>
      <w:bookmarkStart w:id="199" w:name="_Toc490640207"/>
    </w:p>
    <w:p>
      <w:pPr>
        <w:pStyle w:val="1"/>
        <w:numPr>
          <w:numId w:val="38"/>
          <w:ilvl w:val="0"/>
        </w:numPr>
        <w:spacing w:after="120"/>
        <w:jc w:val="both"/>
        <w:rPr>
          <w:bCs w:val="0"/>
        </w:rPr>
      </w:pPr>
      <w:bookmarkStart w:id="200" w:name="_Toc10707095"/>
      <w:bookmarkEnd w:id="197"/>
      <w:bookmarkEnd w:id="198"/>
      <w:bookmarkEnd w:id="199"/>
      <w:r>
        <w:rPr>
          <w:bCs w:val="0"/>
        </w:rPr>
        <w:t xml:space="preserve">ПРИЛОЖЕНИЯ</w:t>
      </w:r>
      <w:bookmarkEnd w:id="200"/>
    </w:p>
    <w:p>
      <w:pPr>
        <w:ind w:left="1" w:hanging="1"/>
        <w:jc w:val="both"/>
        <w:rPr>
          <w:bCs/>
        </w:rPr>
      </w:pPr>
      <w:r>
        <w:rPr>
          <w:b/>
          <w:bCs/>
        </w:rPr>
        <w:br w:type="page" w:clear="all"/>
      </w:r>
    </w:p>
    <w:p>
      <w:pPr>
        <w:pStyle w:val="1"/>
        <w:numPr>
          <w:numId w:val="0"/>
          <w:ilvl w:val="0"/>
        </w:numPr>
        <w:rPr>
          <w:bCs w:val="0"/>
        </w:rPr>
      </w:pPr>
      <w:bookmarkStart w:id="201" w:name="_Toc488848725"/>
      <w:bookmarkStart w:id="202" w:name="_Toc490640179"/>
      <w:bookmarkStart w:id="203" w:name="_Toc490640208"/>
      <w:bookmarkStart w:id="204" w:name="_Toc10707096"/>
      <w:r>
        <w:rPr>
          <w:bCs w:val="0"/>
        </w:rPr>
        <w:t xml:space="preserve">10.1. Приложение 1. Справка-расчет экономического ущерба</w:t>
      </w:r>
      <w:bookmarkEnd w:id="201"/>
      <w:r>
        <w:rPr>
          <w:bCs w:val="0"/>
        </w:rPr>
        <w:t xml:space="preserve">.</w:t>
      </w:r>
      <w:bookmarkEnd w:id="202"/>
      <w:bookmarkEnd w:id="203"/>
      <w:bookmarkEnd w:id="204"/>
    </w:p>
    <w:p>
      <w:pPr>
        <w:spacing w:line="276" w:lineRule="auto"/>
        <w:ind w:left="6804"/>
        <w:jc w:val="both"/>
        <w:rPr>
          <w:rFonts w:eastAsia="Calibri"/>
          <w:sz w:val="20"/>
          <w:szCs w:val="20"/>
          <w:u w:val="single"/>
        </w:rPr>
      </w:pPr>
      <w:r>
        <w:rPr>
          <w:rFonts w:eastAsia="Calibri"/>
          <w:sz w:val="20"/>
          <w:szCs w:val="20"/>
          <w:u w:val="single"/>
        </w:rPr>
        <w:t xml:space="preserve">УТВЕРЖДАЮ</w:t>
      </w:r>
    </w:p>
    <w:p>
      <w:pPr>
        <w:spacing w:line="276" w:lineRule="auto"/>
        <w:ind w:left="6804"/>
        <w:jc w:val="both"/>
        <w:rPr>
          <w:rFonts w:eastAsia="Calibri"/>
          <w:sz w:val="20"/>
          <w:szCs w:val="20"/>
        </w:rPr>
      </w:pPr>
      <w:r>
        <w:rPr>
          <w:rFonts w:eastAsia="Calibri"/>
          <w:sz w:val="20"/>
          <w:szCs w:val="20"/>
        </w:rPr>
        <w:t xml:space="preserve">____________________</w:t>
      </w:r>
    </w:p>
    <w:p>
      <w:pPr>
        <w:spacing w:line="276" w:lineRule="auto"/>
        <w:ind w:left="6804"/>
        <w:jc w:val="both"/>
        <w:rPr>
          <w:rFonts w:eastAsia="Calibri"/>
          <w:sz w:val="16"/>
          <w:szCs w:val="16"/>
        </w:rPr>
      </w:pPr>
      <w:r>
        <w:rPr>
          <w:rFonts w:eastAsia="Calibri"/>
          <w:sz w:val="16"/>
          <w:szCs w:val="16"/>
        </w:rPr>
        <w:t xml:space="preserve">/должность, ФИО/</w:t>
      </w:r>
    </w:p>
    <w:p>
      <w:pPr>
        <w:spacing w:line="276" w:lineRule="auto"/>
        <w:ind w:left="6804"/>
        <w:jc w:val="both"/>
        <w:rPr>
          <w:rFonts w:eastAsia="Calibri"/>
          <w:sz w:val="20"/>
          <w:szCs w:val="20"/>
        </w:rPr>
      </w:pPr>
      <w:r>
        <w:rPr>
          <w:rFonts w:eastAsia="Calibri"/>
          <w:sz w:val="20"/>
          <w:szCs w:val="20"/>
        </w:rPr>
        <w:t xml:space="preserve">____________________</w:t>
      </w:r>
    </w:p>
    <w:p>
      <w:pPr>
        <w:spacing w:line="276" w:lineRule="auto"/>
        <w:ind w:left="6804"/>
        <w:jc w:val="both"/>
        <w:rPr>
          <w:rFonts w:eastAsia="Calibri"/>
          <w:sz w:val="20"/>
          <w:szCs w:val="20"/>
        </w:rPr>
      </w:pPr>
      <w:r>
        <w:rPr>
          <w:rFonts w:eastAsia="Calibri"/>
          <w:sz w:val="20"/>
          <w:szCs w:val="20"/>
        </w:rPr>
        <w:t xml:space="preserve">/ подпись/</w:t>
      </w:r>
    </w:p>
    <w:p>
      <w:pPr>
        <w:spacing w:before="120" w:line="276" w:lineRule="auto"/>
        <w:ind w:left="6804"/>
        <w:jc w:val="both"/>
        <w:rPr>
          <w:rFonts w:eastAsia="Calibri"/>
          <w:sz w:val="20"/>
          <w:szCs w:val="20"/>
        </w:rPr>
      </w:pPr>
      <w:r>
        <w:rPr>
          <w:rFonts w:eastAsia="Calibri"/>
          <w:sz w:val="20"/>
          <w:szCs w:val="20"/>
        </w:rPr>
        <w:t xml:space="preserve">_____________20___г.</w:t>
      </w:r>
    </w:p>
    <w:p>
      <w:pPr>
        <w:tabs>
          <w:tab w:val="left" w:pos="0"/>
        </w:tabs>
        <w:spacing w:line="276" w:lineRule="auto"/>
        <w:ind w:firstLine="426"/>
        <w:jc w:val="center"/>
        <w:rPr>
          <w:rFonts w:eastAsia="Calibri"/>
          <w:b/>
          <w:sz w:val="20"/>
          <w:szCs w:val="20"/>
        </w:rPr>
      </w:pPr>
    </w:p>
    <w:p>
      <w:pPr>
        <w:tabs>
          <w:tab w:val="left" w:pos="0"/>
        </w:tabs>
        <w:spacing w:line="276" w:lineRule="auto"/>
        <w:ind w:firstLine="426"/>
        <w:jc w:val="center"/>
        <w:rPr>
          <w:rFonts w:eastAsia="Calibri"/>
          <w:b/>
          <w:sz w:val="20"/>
          <w:szCs w:val="20"/>
        </w:rPr>
      </w:pPr>
      <w:r>
        <w:rPr>
          <w:rFonts w:eastAsia="Calibri"/>
          <w:b/>
          <w:sz w:val="20"/>
          <w:szCs w:val="20"/>
        </w:rPr>
        <w:t xml:space="preserve">Справка-расчет экономического ущерба</w:t>
      </w:r>
    </w:p>
    <w:p>
      <w:pPr>
        <w:tabs>
          <w:tab w:val="left" w:pos="0"/>
        </w:tabs>
        <w:spacing w:line="276" w:lineRule="auto"/>
        <w:ind w:firstLine="426"/>
        <w:jc w:val="center"/>
        <w:rPr>
          <w:sz w:val="20"/>
          <w:szCs w:val="20"/>
        </w:rPr>
      </w:pPr>
      <w:r>
        <w:rPr>
          <w:rFonts w:eastAsia="Calibri"/>
          <w:b/>
          <w:sz w:val="20"/>
          <w:szCs w:val="20"/>
        </w:rPr>
        <w:t xml:space="preserve">от аварии, нарушения в работе энергооборудования на </w:t>
      </w:r>
      <w:r>
        <w:rPr>
          <w:rFonts w:eastAsia="Calibri"/>
          <w:b/>
          <w:i/>
          <w:sz w:val="20"/>
          <w:szCs w:val="20"/>
        </w:rPr>
        <w:t xml:space="preserve">(указывается энергообъект, на которой произошла авария)</w:t>
      </w:r>
    </w:p>
    <w:p>
      <w:pPr>
        <w:spacing w:line="276" w:lineRule="auto"/>
        <w:ind w:right="-6" w:firstLine="426"/>
        <w:jc w:val="both"/>
        <w:rPr>
          <w:rFonts w:eastAsia="Calibri"/>
          <w:b/>
          <w:sz w:val="20"/>
          <w:szCs w:val="20"/>
        </w:rPr>
      </w:pPr>
      <w:r>
        <w:rPr>
          <w:rFonts w:eastAsia="Calibri"/>
          <w:b/>
          <w:sz w:val="20"/>
          <w:szCs w:val="20"/>
        </w:rPr>
        <w:t xml:space="preserve">Акт №ХХ расследования причин аварии, произошедшей ХХ.ХХ.20ХХ г.</w:t>
      </w:r>
    </w:p>
    <w:p>
      <w:pPr>
        <w:spacing w:line="276" w:lineRule="auto"/>
        <w:ind w:right="-283" w:hanging="142"/>
        <w:jc w:val="both"/>
        <w:rPr>
          <w:rFonts w:eastAsia="Calibri"/>
          <w:b/>
          <w:i/>
          <w:sz w:val="20"/>
          <w:szCs w:val="20"/>
        </w:rPr>
      </w:pPr>
      <w:r>
        <w:rPr>
          <w:rFonts w:eastAsia="Calibri"/>
          <w:b/>
          <w:i/>
          <w:sz w:val="20"/>
          <w:szCs w:val="20"/>
        </w:rPr>
        <w:t xml:space="preserve">(Указать краткое описание события. Например: «Повреждение ПК-7» или «Отключение ТГ-8»)</w:t>
      </w:r>
    </w:p>
    <w:p>
      <w:pPr>
        <w:spacing w:line="276" w:lineRule="auto"/>
        <w:ind w:right="-283" w:hanging="142"/>
        <w:jc w:val="both"/>
        <w:rPr>
          <w:i/>
          <w:sz w:val="20"/>
          <w:szCs w:val="20"/>
        </w:rPr>
      </w:pPr>
    </w:p>
    <w:p>
      <w:pPr>
        <w:numPr>
          <w:numId w:val="24"/>
          <w:ilvl w:val="0"/>
        </w:numPr>
        <w:tabs>
          <w:tab w:val="left" w:pos="0"/>
        </w:tabs>
        <w:spacing w:line="276" w:lineRule="auto"/>
        <w:ind w:left="0" w:firstLine="426"/>
        <w:contextualSpacing/>
        <w:jc w:val="both"/>
        <w:rPr>
          <w:rFonts w:eastAsia="Calibri"/>
          <w:sz w:val="20"/>
          <w:szCs w:val="20"/>
        </w:rPr>
      </w:pPr>
      <w:r>
        <w:rPr>
          <w:rFonts w:eastAsia="Calibri"/>
          <w:b/>
          <w:sz w:val="20"/>
          <w:szCs w:val="20"/>
        </w:rPr>
        <w:t xml:space="preserve">Затраты на ведение ремонтных работ </w:t>
      </w:r>
    </w:p>
    <w:p>
      <w:pPr>
        <w:tabs>
          <w:tab w:val="left" w:pos="0"/>
        </w:tabs>
        <w:spacing w:line="276" w:lineRule="auto"/>
        <w:ind w:firstLine="426"/>
        <w:contextualSpacing/>
        <w:jc w:val="both"/>
        <w:rPr>
          <w:rFonts w:eastAsia="Calibri"/>
          <w:sz w:val="20"/>
          <w:szCs w:val="20"/>
        </w:rPr>
      </w:pPr>
      <w:r>
        <w:rPr>
          <w:rFonts w:eastAsia="Calibri"/>
          <w:b/>
          <w:sz w:val="20"/>
          <w:szCs w:val="20"/>
          <w:lang w:val="en-US"/>
        </w:rPr>
        <w:t xml:space="preserve">U</w:t>
      </w:r>
      <w:r>
        <w:rPr>
          <w:rFonts w:eastAsia="Calibri"/>
          <w:b/>
          <w:sz w:val="20"/>
          <w:szCs w:val="20"/>
        </w:rPr>
        <w:t xml:space="preserve">1 =</w:t>
      </w:r>
      <w:r>
        <w:rPr>
          <w:rFonts w:eastAsia="Calibri"/>
          <w:b/>
          <w:sz w:val="20"/>
          <w:szCs w:val="20"/>
          <w:lang w:val="en-US"/>
        </w:rPr>
        <w:t xml:space="preserve">S</w:t>
      </w:r>
      <w:r>
        <w:rPr>
          <w:rFonts w:eastAsia="Calibri"/>
          <w:b/>
          <w:sz w:val="20"/>
          <w:szCs w:val="20"/>
        </w:rPr>
        <w:t xml:space="preserve">р + </w:t>
      </w:r>
      <w:r>
        <w:rPr>
          <w:rFonts w:eastAsia="Calibri"/>
          <w:b/>
          <w:sz w:val="20"/>
          <w:szCs w:val="20"/>
          <w:lang w:val="en-US"/>
        </w:rPr>
        <w:t xml:space="preserve">S</w:t>
      </w:r>
      <w:r>
        <w:rPr>
          <w:rFonts w:eastAsia="Calibri"/>
          <w:b/>
          <w:sz w:val="20"/>
          <w:szCs w:val="20"/>
        </w:rPr>
        <w:t xml:space="preserve">м + </w:t>
      </w:r>
      <w:r>
        <w:rPr>
          <w:rFonts w:eastAsia="Calibri"/>
          <w:b/>
          <w:sz w:val="20"/>
          <w:szCs w:val="20"/>
          <w:lang w:val="en-US"/>
        </w:rPr>
        <w:t xml:space="preserve">S</w:t>
      </w:r>
      <w:r>
        <w:rPr>
          <w:rFonts w:eastAsia="Calibri"/>
          <w:b/>
          <w:sz w:val="20"/>
          <w:szCs w:val="20"/>
        </w:rPr>
        <w:t xml:space="preserve">тр</w:t>
      </w:r>
      <w:r>
        <w:rPr>
          <w:rFonts w:eastAsia="Calibri"/>
          <w:b/>
          <w:sz w:val="20"/>
          <w:szCs w:val="20"/>
        </w:rPr>
        <w:t xml:space="preserve"> + </w:t>
      </w:r>
      <w:r>
        <w:rPr>
          <w:rFonts w:eastAsia="Calibri"/>
          <w:b/>
          <w:sz w:val="20"/>
          <w:szCs w:val="20"/>
          <w:lang w:val="en-US"/>
        </w:rPr>
        <w:t xml:space="preserve">S</w:t>
      </w:r>
      <w:r>
        <w:rPr>
          <w:rFonts w:eastAsia="Calibri"/>
          <w:b/>
          <w:sz w:val="20"/>
          <w:szCs w:val="20"/>
        </w:rPr>
        <w:t xml:space="preserve">н + </w:t>
      </w:r>
      <w:r>
        <w:rPr>
          <w:rFonts w:eastAsia="Calibri"/>
          <w:b/>
          <w:sz w:val="20"/>
          <w:szCs w:val="20"/>
          <w:lang w:val="en-US"/>
        </w:rPr>
        <w:t xml:space="preserve">S</w:t>
      </w:r>
      <w:r>
        <w:rPr>
          <w:rFonts w:eastAsia="Calibri"/>
          <w:b/>
          <w:sz w:val="20"/>
          <w:szCs w:val="20"/>
        </w:rPr>
        <w:t xml:space="preserve">пр</w:t>
      </w:r>
      <w:r>
        <w:rPr>
          <w:rFonts w:eastAsia="Calibri"/>
          <w:b/>
          <w:sz w:val="20"/>
          <w:szCs w:val="20"/>
        </w:rPr>
        <w:t xml:space="preserve"> = ____ (руб.), где:</w:t>
      </w:r>
    </w:p>
    <w:p>
      <w:pPr>
        <w:spacing w:line="276" w:lineRule="auto"/>
        <w:ind w:firstLine="426"/>
        <w:contextualSpacing/>
        <w:jc w:val="both"/>
        <w:rPr>
          <w:rFonts w:eastAsia="Calibri"/>
          <w:sz w:val="20"/>
          <w:szCs w:val="20"/>
        </w:rPr>
      </w:pPr>
      <w:r>
        <w:rPr>
          <w:rFonts w:eastAsia="Calibri"/>
          <w:sz w:val="20"/>
          <w:szCs w:val="20"/>
          <w:lang w:val="en-US"/>
        </w:rPr>
        <w:t xml:space="preserve">S</w:t>
      </w:r>
      <w:r>
        <w:rPr>
          <w:rFonts w:eastAsia="Calibri"/>
          <w:sz w:val="20"/>
          <w:szCs w:val="20"/>
        </w:rPr>
        <w:t xml:space="preserve">р = ____ (руб.) - стоимость ремонтных работ; строительных и монтажных работ, включая стоимость демонтажа;</w:t>
      </w:r>
    </w:p>
    <w:p>
      <w:pPr>
        <w:spacing w:line="276" w:lineRule="auto"/>
        <w:ind w:firstLine="426"/>
        <w:contextualSpacing/>
        <w:jc w:val="both"/>
        <w:rPr>
          <w:rFonts w:eastAsia="Calibri"/>
          <w:sz w:val="20"/>
          <w:szCs w:val="20"/>
        </w:rPr>
      </w:pPr>
      <w:r>
        <w:rPr>
          <w:rFonts w:eastAsia="Calibri"/>
          <w:sz w:val="20"/>
          <w:szCs w:val="20"/>
        </w:rPr>
        <w:t xml:space="preserve">Sм</w:t>
      </w:r>
      <w:r>
        <w:rPr>
          <w:rFonts w:eastAsia="Calibri"/>
          <w:sz w:val="20"/>
          <w:szCs w:val="20"/>
        </w:rPr>
        <w:t xml:space="preserve"> = ____ (руб.) - стоимость запасных частей и материалов для производства ремонтно-восстановительных работ,</w:t>
      </w:r>
    </w:p>
    <w:p>
      <w:pPr>
        <w:spacing w:line="276" w:lineRule="auto"/>
        <w:ind w:firstLine="426"/>
        <w:contextualSpacing/>
        <w:jc w:val="both"/>
        <w:rPr>
          <w:rFonts w:eastAsia="Calibri"/>
          <w:sz w:val="20"/>
          <w:szCs w:val="20"/>
        </w:rPr>
      </w:pPr>
      <w:r>
        <w:rPr>
          <w:rFonts w:eastAsia="Calibri"/>
          <w:sz w:val="20"/>
          <w:szCs w:val="20"/>
        </w:rPr>
        <w:t xml:space="preserve">Sтр</w:t>
      </w:r>
      <w:r>
        <w:rPr>
          <w:rFonts w:eastAsia="Calibri"/>
          <w:sz w:val="20"/>
          <w:szCs w:val="20"/>
        </w:rPr>
        <w:t xml:space="preserve"> = ____ (руб.) - транспортные расходы, </w:t>
      </w:r>
    </w:p>
    <w:p>
      <w:pPr>
        <w:spacing w:line="276" w:lineRule="auto"/>
        <w:ind w:firstLine="426"/>
        <w:contextualSpacing/>
        <w:jc w:val="both"/>
        <w:rPr>
          <w:rFonts w:eastAsia="Calibri"/>
          <w:sz w:val="20"/>
          <w:szCs w:val="20"/>
        </w:rPr>
      </w:pPr>
      <w:r>
        <w:rPr>
          <w:rFonts w:eastAsia="Calibri"/>
          <w:sz w:val="20"/>
          <w:szCs w:val="20"/>
        </w:rPr>
        <w:t xml:space="preserve">Sн</w:t>
      </w:r>
      <w:r>
        <w:rPr>
          <w:rFonts w:eastAsia="Calibri"/>
          <w:sz w:val="20"/>
          <w:szCs w:val="20"/>
        </w:rPr>
        <w:t xml:space="preserve"> = ____ (руб.) - стоимость наладочных работ, включающая в себя затраты на выполнение работ по проведению испытаний и наладки оборудования.</w:t>
      </w:r>
    </w:p>
    <w:p>
      <w:pPr>
        <w:spacing w:line="276" w:lineRule="auto"/>
        <w:ind w:firstLine="426"/>
        <w:jc w:val="both"/>
        <w:rPr>
          <w:rFonts w:eastAsia="Calibri"/>
          <w:sz w:val="20"/>
          <w:szCs w:val="20"/>
        </w:rPr>
      </w:pPr>
      <w:r>
        <w:rPr>
          <w:rFonts w:eastAsia="Calibri"/>
          <w:sz w:val="20"/>
          <w:szCs w:val="20"/>
        </w:rPr>
        <w:t xml:space="preserve">Sпр</w:t>
      </w:r>
      <w:r>
        <w:rPr>
          <w:rFonts w:eastAsia="Calibri"/>
          <w:sz w:val="20"/>
          <w:szCs w:val="20"/>
        </w:rPr>
        <w:t xml:space="preserve"> = ____ (руб.)-прочие затраты, связанные с проведением ремонтных работ.</w:t>
      </w:r>
    </w:p>
    <w:p>
      <w:pPr>
        <w:spacing w:line="276" w:lineRule="auto"/>
        <w:ind w:firstLine="426"/>
        <w:jc w:val="both"/>
        <w:rPr>
          <w:rFonts w:eastAsia="Calibri"/>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Безвозвратные потери средств производства </w:t>
      </w:r>
    </w:p>
    <w:p>
      <w:pPr>
        <w:spacing w:line="276" w:lineRule="auto"/>
        <w:ind w:firstLine="426"/>
        <w:contextualSpacing/>
        <w:jc w:val="both"/>
        <w:rPr>
          <w:rFonts w:eastAsia="Calibri"/>
          <w:sz w:val="20"/>
          <w:szCs w:val="20"/>
        </w:rPr>
      </w:pPr>
      <w:r>
        <w:rPr>
          <w:rFonts w:eastAsia="Calibri"/>
          <w:b/>
          <w:sz w:val="20"/>
          <w:szCs w:val="20"/>
          <w:lang w:val="en-US"/>
        </w:rPr>
        <w:t xml:space="preserve">U</w:t>
      </w:r>
      <w:r>
        <w:rPr>
          <w:rFonts w:eastAsia="Calibri"/>
          <w:b/>
          <w:sz w:val="20"/>
          <w:szCs w:val="20"/>
        </w:rPr>
        <w:t xml:space="preserve">2 = ∑ </w:t>
      </w:r>
      <w:r>
        <w:rPr>
          <w:rFonts w:eastAsia="Calibri"/>
          <w:b/>
          <w:sz w:val="20"/>
          <w:szCs w:val="20"/>
          <w:lang w:val="en-US"/>
        </w:rPr>
        <w:t xml:space="preserve">S</w:t>
      </w:r>
      <w:r>
        <w:rPr>
          <w:rFonts w:eastAsia="Calibri"/>
          <w:b/>
          <w:sz w:val="20"/>
          <w:szCs w:val="20"/>
        </w:rPr>
        <w:t xml:space="preserve">о</w:t>
      </w:r>
      <w:r>
        <w:rPr>
          <w:rFonts w:eastAsia="Calibri"/>
          <w:b/>
          <w:sz w:val="20"/>
          <w:szCs w:val="20"/>
          <w:lang w:val="en-US"/>
        </w:rPr>
        <w:t xml:space="preserve">i</w:t>
      </w:r>
      <w:r>
        <w:rPr>
          <w:rFonts w:eastAsia="Calibri"/>
          <w:b/>
          <w:sz w:val="20"/>
          <w:szCs w:val="20"/>
        </w:rPr>
        <w:t xml:space="preserve"> – </w:t>
      </w:r>
      <w:r>
        <w:rPr>
          <w:rFonts w:eastAsia="Calibri"/>
          <w:b/>
          <w:sz w:val="20"/>
          <w:szCs w:val="20"/>
          <w:lang w:val="en-US"/>
        </w:rPr>
        <w:t xml:space="preserve">S</w:t>
      </w:r>
      <w:r>
        <w:rPr>
          <w:rFonts w:eastAsia="Calibri"/>
          <w:b/>
          <w:sz w:val="20"/>
          <w:szCs w:val="20"/>
        </w:rPr>
        <w:t xml:space="preserve">вм</w:t>
      </w:r>
      <w:r>
        <w:rPr>
          <w:rFonts w:eastAsia="Calibri"/>
          <w:b/>
          <w:sz w:val="20"/>
          <w:szCs w:val="20"/>
        </w:rPr>
        <w:t xml:space="preserve"> + </w:t>
      </w:r>
      <w:r>
        <w:rPr>
          <w:rFonts w:eastAsia="Calibri"/>
          <w:b/>
          <w:sz w:val="20"/>
          <w:szCs w:val="20"/>
          <w:lang w:val="en-US"/>
        </w:rPr>
        <w:t xml:space="preserve">S</w:t>
      </w:r>
      <w:r>
        <w:rPr>
          <w:rFonts w:eastAsia="Calibri"/>
          <w:b/>
          <w:sz w:val="20"/>
          <w:szCs w:val="20"/>
        </w:rPr>
        <w:t xml:space="preserve">л = ____ (руб.), где:</w:t>
      </w:r>
    </w:p>
    <w:p>
      <w:pPr>
        <w:spacing w:line="276" w:lineRule="auto"/>
        <w:ind w:firstLine="426"/>
        <w:jc w:val="both"/>
        <w:rPr>
          <w:rFonts w:eastAsia="Calibri"/>
          <w:sz w:val="20"/>
          <w:szCs w:val="20"/>
        </w:rPr>
      </w:pPr>
      <w:r>
        <w:rPr>
          <w:rFonts w:eastAsia="Calibri"/>
          <w:sz w:val="20"/>
          <w:szCs w:val="20"/>
        </w:rPr>
        <w:t xml:space="preserve">Sо</w:t>
      </w:r>
      <w:r>
        <w:rPr>
          <w:rFonts w:eastAsia="Calibri"/>
          <w:sz w:val="20"/>
          <w:szCs w:val="20"/>
          <w:lang w:val="en-US"/>
        </w:rPr>
        <w:t xml:space="preserve">i</w:t>
      </w:r>
      <w:r>
        <w:rPr>
          <w:rFonts w:eastAsia="Calibri"/>
          <w:sz w:val="20"/>
          <w:szCs w:val="20"/>
        </w:rPr>
        <w:t xml:space="preserve"> = ____ (руб.)-остаточная балансовая стоимость i-</w:t>
      </w:r>
      <w:r>
        <w:rPr>
          <w:rFonts w:eastAsia="Calibri"/>
          <w:sz w:val="20"/>
          <w:szCs w:val="20"/>
        </w:rPr>
        <w:t xml:space="preserve">гo</w:t>
      </w:r>
      <w:r>
        <w:rPr>
          <w:rFonts w:eastAsia="Calibri"/>
          <w:sz w:val="20"/>
          <w:szCs w:val="20"/>
        </w:rPr>
        <w:t xml:space="preserve">, не подлежащего восстановлению оборудования или сооружения,</w:t>
      </w:r>
    </w:p>
    <w:p>
      <w:pPr>
        <w:spacing w:line="276" w:lineRule="auto"/>
        <w:ind w:firstLine="426"/>
        <w:jc w:val="both"/>
        <w:rPr>
          <w:rFonts w:eastAsia="Calibri"/>
          <w:sz w:val="20"/>
          <w:szCs w:val="20"/>
        </w:rPr>
      </w:pPr>
      <w:r>
        <w:rPr>
          <w:rFonts w:eastAsia="Calibri"/>
          <w:sz w:val="20"/>
          <w:szCs w:val="20"/>
          <w:lang w:val="en-US"/>
        </w:rPr>
        <w:t xml:space="preserve">S</w:t>
      </w:r>
      <w:r>
        <w:rPr>
          <w:rFonts w:eastAsia="Calibri"/>
          <w:sz w:val="20"/>
          <w:szCs w:val="20"/>
        </w:rPr>
        <w:t xml:space="preserve">вм</w:t>
      </w:r>
      <w:r>
        <w:rPr>
          <w:rFonts w:eastAsia="Calibri"/>
          <w:sz w:val="20"/>
          <w:szCs w:val="20"/>
        </w:rPr>
        <w:t xml:space="preserve"> = ____ (руб.)-стоимость возвратного материала (определяется по рыночной цене), </w:t>
      </w:r>
    </w:p>
    <w:p>
      <w:pPr>
        <w:spacing w:line="276" w:lineRule="auto"/>
        <w:ind w:firstLine="426"/>
        <w:jc w:val="both"/>
        <w:rPr>
          <w:rFonts w:eastAsia="Calibri"/>
          <w:sz w:val="20"/>
          <w:szCs w:val="20"/>
        </w:rPr>
      </w:pPr>
      <w:r>
        <w:rPr>
          <w:rFonts w:eastAsia="Calibri"/>
          <w:sz w:val="20"/>
          <w:szCs w:val="20"/>
          <w:lang w:val="en-US"/>
        </w:rPr>
        <w:t xml:space="preserve">S</w:t>
      </w:r>
      <w:r>
        <w:rPr>
          <w:rFonts w:eastAsia="Calibri"/>
          <w:sz w:val="20"/>
          <w:szCs w:val="20"/>
        </w:rPr>
        <w:t xml:space="preserve">л = ____ (руб.)-прочие потери, включая затраты на ликвидацию и локализацию технологического нарушения, тушение пожара, проведение спасательных работ и т.п.</w:t>
      </w:r>
    </w:p>
    <w:p>
      <w:pPr>
        <w:spacing w:line="276" w:lineRule="auto"/>
        <w:ind w:firstLine="426"/>
        <w:jc w:val="both"/>
        <w:rPr>
          <w:rFonts w:eastAsia="Calibri"/>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Потери от ухудшения технологических параметров</w:t>
      </w:r>
    </w:p>
    <w:p>
      <w:pPr>
        <w:ind w:right="-171"/>
        <w:jc w:val="both"/>
        <w:rPr>
          <w:sz w:val="20"/>
          <w:szCs w:val="20"/>
        </w:rPr>
      </w:pPr>
      <w:r>
        <w:rPr>
          <w:position w:val="-12"/>
          <w:sz w:val="20"/>
          <w:szCs w:val="20"/>
        </w:rPr>
        <w:object w:dxaOrig="56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3" o:spid="_x0000_s153" type="#_x0000_t75" style="width:263.05pt;height:15.80pt;mso-wrap-distance-left:0.00pt;mso-wrap-distance-top:0.00pt;mso-wrap-distance-right:0.00pt;mso-wrap-distance-bottom:0.00pt;" filled="f" stroked="f">
            <v:path textboxrect="0,0,0,0"/>
            <v:imagedata r:id="rId321" o:title=""/>
          </v:shape>
          <o:OLEObject DrawAspect="Content" r:id="rId322" ObjectID="_152504153" ProgID="Equation.3" ShapeID="_x0000_i153" Type="Embed"/>
        </w:object>
      </w:r>
      <w:r>
        <w:rPr>
          <w:sz w:val="20"/>
          <w:szCs w:val="20"/>
        </w:rPr>
        <w:t xml:space="preserve">=___(руб.), где:</w:t>
      </w:r>
    </w:p>
    <w:p>
      <w:pPr>
        <w:spacing w:line="276" w:lineRule="auto"/>
        <w:ind w:firstLine="426"/>
        <w:jc w:val="both"/>
        <w:rPr>
          <w:rFonts w:eastAsia="Calibri"/>
          <w:sz w:val="20"/>
          <w:szCs w:val="20"/>
        </w:rPr>
      </w:pPr>
      <w:r>
        <w:rPr>
          <w:rFonts w:eastAsia="Calibri"/>
          <w:position w:val="-12"/>
          <w:sz w:val="20"/>
          <w:szCs w:val="20"/>
        </w:rPr>
        <w:object w:dxaOrig="48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4" o:spid="_x0000_s154" type="#_x0000_t75" style="width:24.55pt;height:15.80pt;mso-wrap-distance-left:0.00pt;mso-wrap-distance-top:0.00pt;mso-wrap-distance-right:0.00pt;mso-wrap-distance-bottom:0.00pt;" filled="f" stroked="f">
            <v:path textboxrect="0,0,0,0"/>
            <v:imagedata r:id="rId323" o:title=""/>
          </v:shape>
          <o:OLEObject DrawAspect="Content" r:id="rId324" ObjectID="_152504154" ProgID="Equation.3" ShapeID="_x0000_i154" Type="Embed"/>
        </w:object>
      </w:r>
      <w:r>
        <w:rPr>
          <w:rFonts w:eastAsia="Calibri"/>
          <w:sz w:val="20"/>
          <w:szCs w:val="20"/>
        </w:rPr>
        <w:t xml:space="preserve"> = ____ (кВт۰ч)-фактический отпуск электроэнергии замещающего оборудования, до включения в сеть выведенного </w:t>
      </w:r>
      <w:r>
        <w:rPr>
          <w:rFonts w:eastAsia="Calibri"/>
          <w:sz w:val="20"/>
          <w:szCs w:val="20"/>
        </w:rPr>
        <w:t xml:space="preserve">аварийно</w:t>
      </w:r>
      <w:r>
        <w:rPr>
          <w:rFonts w:eastAsia="Calibri"/>
          <w:sz w:val="20"/>
          <w:szCs w:val="20"/>
        </w:rPr>
        <w:t xml:space="preserve"> в ремонт энергоблока,</w:t>
      </w:r>
    </w:p>
    <w:p>
      <w:pPr>
        <w:spacing w:line="276" w:lineRule="auto"/>
        <w:ind w:firstLine="426"/>
        <w:jc w:val="both"/>
        <w:rPr>
          <w:rFonts w:eastAsia="Calibri"/>
          <w:sz w:val="20"/>
          <w:szCs w:val="20"/>
        </w:rPr>
      </w:pPr>
      <w:r>
        <w:rPr>
          <w:rFonts w:eastAsia="Calibri"/>
          <w:position w:val="-12"/>
          <w:sz w:val="20"/>
          <w:szCs w:val="20"/>
        </w:rPr>
        <w:object w:dxaOrig="5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5" o:spid="_x0000_s155" type="#_x0000_t75" style="width:24.55pt;height:15.80pt;mso-wrap-distance-left:0.00pt;mso-wrap-distance-top:0.00pt;mso-wrap-distance-right:0.00pt;mso-wrap-distance-bottom:0.00pt;" filled="f" stroked="f">
            <v:path textboxrect="0,0,0,0"/>
            <v:imagedata r:id="rId325" o:title=""/>
          </v:shape>
          <o:OLEObject DrawAspect="Content" r:id="rId326" ObjectID="_152504155" ProgID="Equation.3" ShapeID="_x0000_i155" Type="Embed"/>
        </w:object>
      </w:r>
      <w:r>
        <w:rPr>
          <w:rFonts w:eastAsia="Calibri"/>
          <w:sz w:val="20"/>
          <w:szCs w:val="20"/>
        </w:rPr>
        <w:t xml:space="preserve"> = ____ (Гкал)-фактический отпуск теплоэнергии замещающего оборудования до включения в сеть выведенного </w:t>
      </w:r>
      <w:r>
        <w:rPr>
          <w:rFonts w:eastAsia="Calibri"/>
          <w:sz w:val="20"/>
          <w:szCs w:val="20"/>
        </w:rPr>
        <w:t xml:space="preserve">аварийно</w:t>
      </w:r>
      <w:r>
        <w:rPr>
          <w:rFonts w:eastAsia="Calibri"/>
          <w:sz w:val="20"/>
          <w:szCs w:val="20"/>
        </w:rPr>
        <w:t xml:space="preserve"> в ремонт оборудования,</w:t>
      </w:r>
    </w:p>
    <w:p>
      <w:pPr>
        <w:spacing w:line="276" w:lineRule="auto"/>
        <w:ind w:firstLine="426"/>
        <w:jc w:val="both"/>
        <w:rPr>
          <w:rFonts w:eastAsia="Calibri"/>
          <w:sz w:val="20"/>
          <w:szCs w:val="20"/>
        </w:rPr>
      </w:pPr>
      <w:r>
        <w:rPr>
          <w:rFonts w:eastAsia="Calibri"/>
          <w:sz w:val="20"/>
          <w:szCs w:val="20"/>
        </w:rPr>
        <w:t xml:space="preserve">В</w:t>
      </w:r>
      <w:r>
        <w:rPr>
          <w:rFonts w:eastAsia="Calibri"/>
          <w:sz w:val="20"/>
          <w:szCs w:val="20"/>
          <w:vertAlign w:val="subscript"/>
        </w:rPr>
        <w:t xml:space="preserve">1 = </w:t>
      </w:r>
      <w:r>
        <w:rPr>
          <w:rFonts w:eastAsia="Calibri"/>
          <w:sz w:val="20"/>
          <w:szCs w:val="20"/>
        </w:rPr>
        <w:t xml:space="preserve">____ (</w:t>
      </w:r>
      <w:r>
        <w:rPr>
          <w:rFonts w:eastAsia="Calibri"/>
          <w:sz w:val="20"/>
          <w:szCs w:val="20"/>
        </w:rPr>
        <w:t xml:space="preserve">т.у.т</w:t>
      </w:r>
      <w:r>
        <w:rPr>
          <w:rFonts w:eastAsia="Calibri"/>
          <w:sz w:val="20"/>
          <w:szCs w:val="20"/>
        </w:rPr>
        <w:t xml:space="preserve">./кВт۰ч)-удельный расход топлива на выработку электроэнергии при работе оборудования до технологического нарушения при прогнозируемой нагрузке;</w:t>
      </w:r>
    </w:p>
    <w:p>
      <w:pPr>
        <w:spacing w:line="276" w:lineRule="auto"/>
        <w:ind w:firstLine="426"/>
        <w:jc w:val="both"/>
        <w:rPr>
          <w:rFonts w:eastAsia="Calibri"/>
          <w:sz w:val="20"/>
          <w:szCs w:val="20"/>
        </w:rPr>
      </w:pPr>
      <w:r>
        <w:rPr>
          <w:rFonts w:eastAsia="Calibri"/>
          <w:sz w:val="20"/>
          <w:szCs w:val="20"/>
        </w:rPr>
        <w:t xml:space="preserve">В</w:t>
      </w:r>
      <w:r>
        <w:rPr>
          <w:rFonts w:eastAsia="Calibri"/>
          <w:sz w:val="20"/>
          <w:szCs w:val="20"/>
          <w:vertAlign w:val="subscript"/>
        </w:rPr>
        <w:t xml:space="preserve">2</w:t>
      </w:r>
      <w:r>
        <w:rPr>
          <w:rFonts w:eastAsia="Calibri"/>
          <w:sz w:val="20"/>
          <w:szCs w:val="20"/>
        </w:rPr>
        <w:t xml:space="preserve"> = ____ (</w:t>
      </w:r>
      <w:r>
        <w:rPr>
          <w:rFonts w:eastAsia="Calibri"/>
          <w:sz w:val="20"/>
          <w:szCs w:val="20"/>
        </w:rPr>
        <w:t xml:space="preserve">т.у.т</w:t>
      </w:r>
      <w:r>
        <w:rPr>
          <w:rFonts w:eastAsia="Calibri"/>
          <w:sz w:val="20"/>
          <w:szCs w:val="20"/>
        </w:rPr>
        <w:t xml:space="preserve">/кВт۰ч)-удельный расход топлива на выработку электроэнергии после технологического нарушения на замещающем оборудовании;</w:t>
      </w:r>
    </w:p>
    <w:p>
      <w:pPr>
        <w:spacing w:line="276" w:lineRule="auto"/>
        <w:ind w:firstLine="426"/>
        <w:jc w:val="both"/>
        <w:rPr>
          <w:rFonts w:eastAsia="Calibri"/>
          <w:sz w:val="20"/>
          <w:szCs w:val="20"/>
        </w:rPr>
      </w:pPr>
      <w:r>
        <w:rPr>
          <w:rFonts w:eastAsia="Calibri"/>
          <w:position w:val="-10"/>
          <w:sz w:val="20"/>
          <w:szCs w:val="20"/>
        </w:rPr>
        <w:object w:dxaOrig="3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6" o:spid="_x0000_s156" type="#_x0000_t75" style="width:19.55pt;height:14.15pt;mso-wrap-distance-left:0.00pt;mso-wrap-distance-top:0.00pt;mso-wrap-distance-right:0.00pt;mso-wrap-distance-bottom:0.00pt;" filled="f" stroked="f">
            <v:path textboxrect="0,0,0,0"/>
            <v:imagedata r:id="rId327" o:title=""/>
          </v:shape>
          <o:OLEObject DrawAspect="Content" r:id="rId328" ObjectID="_152504156" ProgID="Equation.3" ShapeID="_x0000_i156" Type="Embed"/>
        </w:object>
      </w:r>
      <w:r>
        <w:rPr>
          <w:rFonts w:eastAsia="Calibri"/>
          <w:sz w:val="20"/>
          <w:szCs w:val="20"/>
        </w:rPr>
        <w:t xml:space="preserve"> = ____ (</w:t>
      </w:r>
      <w:r>
        <w:rPr>
          <w:rFonts w:eastAsia="Calibri"/>
          <w:sz w:val="20"/>
          <w:szCs w:val="20"/>
        </w:rPr>
        <w:t xml:space="preserve">т.у.т</w:t>
      </w:r>
      <w:r>
        <w:rPr>
          <w:rFonts w:eastAsia="Calibri"/>
          <w:sz w:val="20"/>
          <w:szCs w:val="20"/>
        </w:rPr>
        <w:t xml:space="preserve">./Гкал)-удельный расход топлива на выработку теплоэнергии при работе оборудования до технологического нарушения;</w:t>
      </w:r>
    </w:p>
    <w:p>
      <w:pPr>
        <w:spacing w:line="276" w:lineRule="auto"/>
        <w:ind w:firstLine="426"/>
        <w:jc w:val="both"/>
        <w:rPr>
          <w:rFonts w:eastAsia="Calibri"/>
          <w:sz w:val="20"/>
          <w:szCs w:val="20"/>
        </w:rPr>
      </w:pPr>
      <w:r>
        <w:rPr>
          <w:rFonts w:eastAsia="Calibri"/>
          <w:position w:val="-10"/>
          <w:sz w:val="20"/>
          <w:szCs w:val="20"/>
        </w:rPr>
        <w:object w:dxaOrig="3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7" o:spid="_x0000_s157" type="#_x0000_t75" style="width:19.55pt;height:14.15pt;mso-wrap-distance-left:0.00pt;mso-wrap-distance-top:0.00pt;mso-wrap-distance-right:0.00pt;mso-wrap-distance-bottom:0.00pt;" filled="f" stroked="f">
            <v:path textboxrect="0,0,0,0"/>
            <v:imagedata r:id="rId329" o:title=""/>
          </v:shape>
          <o:OLEObject DrawAspect="Content" r:id="rId330" ObjectID="_152504157" ProgID="Equation.3" ShapeID="_x0000_i157" Type="Embed"/>
        </w:object>
      </w:r>
      <w:r>
        <w:rPr>
          <w:rFonts w:eastAsia="Calibri"/>
          <w:sz w:val="20"/>
          <w:szCs w:val="20"/>
        </w:rPr>
        <w:t xml:space="preserve"> = ____ (</w:t>
      </w:r>
      <w:r>
        <w:rPr>
          <w:rFonts w:eastAsia="Calibri"/>
          <w:sz w:val="20"/>
          <w:szCs w:val="20"/>
        </w:rPr>
        <w:t xml:space="preserve">т.у.т</w:t>
      </w:r>
      <w:r>
        <w:rPr>
          <w:rFonts w:eastAsia="Calibri"/>
          <w:sz w:val="20"/>
          <w:szCs w:val="20"/>
        </w:rPr>
        <w:t xml:space="preserve">/Гкал)-удельный расход топлива на выработку теплоэнергии после технологического нарушения, на замещающем оборудовании;</w:t>
      </w:r>
    </w:p>
    <w:p>
      <w:pPr>
        <w:spacing w:line="276" w:lineRule="auto"/>
        <w:ind w:firstLine="426"/>
        <w:jc w:val="both"/>
        <w:rPr>
          <w:rFonts w:eastAsia="Calibri"/>
          <w:sz w:val="20"/>
          <w:szCs w:val="20"/>
        </w:rPr>
      </w:pPr>
      <w:r>
        <w:rPr>
          <w:rFonts w:eastAsia="Calibri"/>
          <w:sz w:val="20"/>
          <w:szCs w:val="20"/>
        </w:rPr>
        <w:t xml:space="preserve">Цтоп</w:t>
      </w:r>
      <w:r>
        <w:rPr>
          <w:rFonts w:eastAsia="Calibri"/>
          <w:sz w:val="20"/>
          <w:szCs w:val="20"/>
        </w:rPr>
        <w:t xml:space="preserve"> = ____ (руб./</w:t>
      </w:r>
      <w:r>
        <w:rPr>
          <w:rFonts w:eastAsia="Calibri"/>
          <w:sz w:val="20"/>
          <w:szCs w:val="20"/>
        </w:rPr>
        <w:t xml:space="preserve">т.у.т</w:t>
      </w:r>
      <w:r>
        <w:rPr>
          <w:rFonts w:eastAsia="Calibri"/>
          <w:sz w:val="20"/>
          <w:szCs w:val="20"/>
        </w:rPr>
        <w:t xml:space="preserve">.)-цена условного топлива.</w:t>
      </w:r>
    </w:p>
    <w:p>
      <w:pPr>
        <w:tabs>
          <w:tab w:val="num" w:pos="540"/>
        </w:tabs>
        <w:spacing w:before="120"/>
        <w:rPr>
          <w:sz w:val="20"/>
          <w:szCs w:val="20"/>
        </w:rPr>
      </w:pPr>
      <w:r>
        <w:rPr>
          <w:sz w:val="20"/>
          <w:szCs w:val="20"/>
        </w:rPr>
        <w:t xml:space="preserve">В случае, если отключившееся оборудование не замещается вводом в работу другого оборудования, а технологические параметры оставшегося в работе оборудования ухудшаются - составляющая ущерба </w:t>
      </w:r>
      <w:r>
        <w:rPr>
          <w:position w:val="-6"/>
          <w:sz w:val="20"/>
          <w:szCs w:val="20"/>
        </w:rPr>
        <w:object w:dxaOrig="24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8" o:spid="_x0000_s158" type="#_x0000_t75" style="width:10.80pt;height:10.80pt;mso-wrap-distance-left:0.00pt;mso-wrap-distance-top:0.00pt;mso-wrap-distance-right:0.00pt;mso-wrap-distance-bottom:0.00pt;" filled="f" stroked="f">
            <v:path textboxrect="0,0,0,0"/>
            <v:imagedata r:id="rId331" o:title=""/>
          </v:shape>
          <o:OLEObject DrawAspect="Content" r:id="rId332" ObjectID="_152504158" ProgID="Equation.3" ShapeID="_x0000_i158" Type="Embed"/>
        </w:object>
      </w:r>
      <w:r>
        <w:rPr>
          <w:sz w:val="20"/>
          <w:szCs w:val="20"/>
        </w:rPr>
        <w:t xml:space="preserve"> оценивается по следующей формуле (в противном случае </w:t>
      </w:r>
      <w:r>
        <w:rPr>
          <w:position w:val="-6"/>
          <w:sz w:val="20"/>
          <w:szCs w:val="20"/>
        </w:rPr>
        <w:object w:dxaOrig="620" w:dyaOrig="279">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9" o:spid="_x0000_s159" type="#_x0000_t75" style="width:33.70pt;height:10.80pt;mso-wrap-distance-left:0.00pt;mso-wrap-distance-top:0.00pt;mso-wrap-distance-right:0.00pt;mso-wrap-distance-bottom:0.00pt;" filled="f" stroked="f">
            <v:path textboxrect="0,0,0,0"/>
            <v:imagedata r:id="rId333" o:title=""/>
          </v:shape>
          <o:OLEObject DrawAspect="Content" r:id="rId334" ObjectID="_152504159" ProgID="Equation.3" ShapeID="_x0000_i159" Type="Embed"/>
        </w:object>
      </w:r>
      <w:r>
        <w:rPr>
          <w:sz w:val="20"/>
          <w:szCs w:val="20"/>
        </w:rPr>
        <w:t xml:space="preserve">):</w:t>
      </w:r>
    </w:p>
    <w:p>
      <w:pPr>
        <w:tabs>
          <w:tab w:val="num" w:pos="540"/>
        </w:tabs>
        <w:jc w:val="center"/>
        <w:rPr>
          <w:sz w:val="20"/>
          <w:szCs w:val="20"/>
        </w:rPr>
      </w:pPr>
      <w:r>
        <w:rPr>
          <w:position w:val="-30"/>
          <w:sz w:val="20"/>
          <w:szCs w:val="20"/>
        </w:rPr>
        <w:object w:dxaOrig="6460" w:dyaOrig="7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0" o:spid="_x0000_s160" type="#_x0000_t75" style="width:287.15pt;height:33.30pt;mso-wrap-distance-left:0.00pt;mso-wrap-distance-top:0.00pt;mso-wrap-distance-right:0.00pt;mso-wrap-distance-bottom:0.00pt;" filled="f" stroked="f">
            <v:path textboxrect="0,0,0,0"/>
            <v:imagedata r:id="rId335" o:title=""/>
          </v:shape>
          <o:OLEObject DrawAspect="Content" r:id="rId336" ObjectID="_152504160" ProgID="Equation.3" ShapeID="_x0000_i160" Type="Embed"/>
        </w:object>
      </w:r>
      <w:r>
        <w:rPr>
          <w:sz w:val="20"/>
          <w:szCs w:val="20"/>
        </w:rPr>
        <w:t xml:space="preserve">(руб.), где:</w:t>
      </w:r>
    </w:p>
    <w:p>
      <w:pPr>
        <w:numPr>
          <w:numId w:val="7"/>
          <w:ilvl w:val="0"/>
        </w:numPr>
        <w:tabs>
          <w:tab w:val="num" w:pos="540"/>
        </w:tabs>
        <w:spacing w:before="120"/>
        <w:ind w:left="1080" w:hanging="570"/>
        <w:rPr>
          <w:sz w:val="20"/>
          <w:szCs w:val="20"/>
        </w:rPr>
      </w:pPr>
      <w:r>
        <w:rPr>
          <w:position w:val="-12"/>
          <w:sz w:val="20"/>
          <w:szCs w:val="20"/>
        </w:rPr>
        <w:object w:dxaOrig="6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1" o:spid="_x0000_s161" type="#_x0000_t75" style="width:34.55pt;height:15.80pt;mso-wrap-distance-left:0.00pt;mso-wrap-distance-top:0.00pt;mso-wrap-distance-right:0.00pt;mso-wrap-distance-bottom:0.00pt;" filled="f" stroked="f">
            <v:path textboxrect="0,0,0,0"/>
            <v:imagedata r:id="rId337" o:title=""/>
          </v:shape>
          <o:OLEObject DrawAspect="Content" r:id="rId338" ObjectID="_152504161" ProgID="Equation.3" ShapeID="_x0000_i161" Type="Embed"/>
        </w:object>
      </w:r>
      <w:r>
        <w:rPr>
          <w:sz w:val="20"/>
          <w:szCs w:val="20"/>
        </w:rPr>
        <w:t xml:space="preserve"> - фактический отпуск электроэнергии оставшегося в работе оборудования до включения в сеть выведенного </w:t>
      </w:r>
      <w:r>
        <w:rPr>
          <w:sz w:val="20"/>
          <w:szCs w:val="20"/>
        </w:rPr>
        <w:t xml:space="preserve">аварийно</w:t>
      </w:r>
      <w:r>
        <w:rPr>
          <w:sz w:val="20"/>
          <w:szCs w:val="20"/>
        </w:rPr>
        <w:t xml:space="preserve"> в ремонт энергооборудования, (кВт</w:t>
      </w:r>
      <w:r>
        <w:rPr>
          <w:sz w:val="20"/>
          <w:szCs w:val="20"/>
          <w:rtl/>
        </w:rPr>
        <w:t xml:space="preserve">۰</w:t>
      </w:r>
      <w:r>
        <w:rPr>
          <w:sz w:val="20"/>
          <w:szCs w:val="20"/>
        </w:rPr>
        <w:t xml:space="preserve">ч);</w:t>
      </w:r>
    </w:p>
    <w:p>
      <w:pPr>
        <w:numPr>
          <w:numId w:val="7"/>
          <w:ilvl w:val="0"/>
        </w:numPr>
        <w:tabs>
          <w:tab w:val="num" w:pos="540"/>
        </w:tabs>
        <w:ind w:left="1080" w:hanging="570"/>
        <w:rPr>
          <w:sz w:val="20"/>
          <w:szCs w:val="20"/>
        </w:rPr>
      </w:pPr>
      <w:r>
        <w:rPr>
          <w:position w:val="-12"/>
          <w:sz w:val="20"/>
          <w:szCs w:val="20"/>
        </w:rPr>
        <w:object w:dxaOrig="70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2" o:spid="_x0000_s162" type="#_x0000_t75" style="width:34.55pt;height:15.80pt;mso-wrap-distance-left:0.00pt;mso-wrap-distance-top:0.00pt;mso-wrap-distance-right:0.00pt;mso-wrap-distance-bottom:0.00pt;" filled="f" stroked="f">
            <v:path textboxrect="0,0,0,0"/>
            <v:imagedata r:id="rId339" o:title=""/>
          </v:shape>
          <o:OLEObject DrawAspect="Content" r:id="rId340" ObjectID="_152504162" ProgID="Equation.3" ShapeID="_x0000_i162" Type="Embed"/>
        </w:object>
      </w:r>
      <w:r>
        <w:rPr>
          <w:sz w:val="20"/>
          <w:szCs w:val="20"/>
        </w:rPr>
        <w:t xml:space="preserve"> - фактический отпуск теплоэнергии оставшегося оборудования до включения в сеть выведенного </w:t>
      </w:r>
      <w:r>
        <w:rPr>
          <w:sz w:val="20"/>
          <w:szCs w:val="20"/>
        </w:rPr>
        <w:t xml:space="preserve">аварийно</w:t>
      </w:r>
      <w:r>
        <w:rPr>
          <w:sz w:val="20"/>
          <w:szCs w:val="20"/>
        </w:rPr>
        <w:t xml:space="preserve"> в ремонт энергооборудования, (Гкал);</w:t>
      </w:r>
    </w:p>
    <w:p>
      <w:pPr>
        <w:numPr>
          <w:numId w:val="7"/>
          <w:ilvl w:val="0"/>
        </w:numPr>
        <w:tabs>
          <w:tab w:val="num" w:pos="540"/>
        </w:tabs>
        <w:ind w:left="1080" w:hanging="570"/>
        <w:rPr>
          <w:sz w:val="20"/>
          <w:szCs w:val="20"/>
        </w:rPr>
      </w:pPr>
      <w:r>
        <w:rPr>
          <w:position w:val="-10"/>
          <w:sz w:val="20"/>
          <w:szCs w:val="20"/>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3" o:spid="_x0000_s163" type="#_x0000_t75" style="width:14.15pt;height:19.55pt;mso-wrap-distance-left:0.00pt;mso-wrap-distance-top:0.00pt;mso-wrap-distance-right:0.00pt;mso-wrap-distance-bottom:0.00pt;" filled="f" stroked="f">
            <v:path textboxrect="0,0,0,0"/>
            <v:imagedata r:id="rId341" o:title=""/>
          </v:shape>
          <o:OLEObject DrawAspect="Content" r:id="rId342" ObjectID="_152504163" ProgID="Equation.3" ShapeID="_x0000_i163" Type="Embed"/>
        </w:object>
      </w:r>
      <w:r>
        <w:rPr>
          <w:sz w:val="20"/>
          <w:szCs w:val="20"/>
        </w:rPr>
        <w:t xml:space="preserve"> - удельный расход топлива на выработку электроэнергии оставшегося в работе оборудования до технологического нарушения при прогнозируемой нагрузке, (</w:t>
      </w:r>
      <w:r>
        <w:rPr>
          <w:sz w:val="20"/>
          <w:szCs w:val="20"/>
        </w:rPr>
        <w:t xml:space="preserve">т.у.т</w:t>
      </w:r>
      <w:r>
        <w:rPr>
          <w:sz w:val="20"/>
          <w:szCs w:val="20"/>
        </w:rPr>
        <w:t xml:space="preserve">./кВт</w:t>
      </w:r>
      <w:r>
        <w:rPr>
          <w:sz w:val="20"/>
          <w:szCs w:val="20"/>
          <w:rtl/>
        </w:rPr>
        <w:t xml:space="preserve">۰</w:t>
      </w:r>
      <w:r>
        <w:rPr>
          <w:sz w:val="20"/>
          <w:szCs w:val="20"/>
        </w:rPr>
        <w:t xml:space="preserve">ч);</w:t>
      </w:r>
    </w:p>
    <w:p>
      <w:pPr>
        <w:numPr>
          <w:numId w:val="7"/>
          <w:ilvl w:val="0"/>
        </w:numPr>
        <w:tabs>
          <w:tab w:val="num" w:pos="540"/>
        </w:tabs>
        <w:ind w:left="1080" w:hanging="570"/>
        <w:rPr>
          <w:sz w:val="20"/>
          <w:szCs w:val="20"/>
        </w:rPr>
      </w:pPr>
      <w:r>
        <w:rPr>
          <w:position w:val="-10"/>
          <w:sz w:val="20"/>
          <w:szCs w:val="20"/>
        </w:rPr>
        <w:object w:dxaOrig="3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4" o:spid="_x0000_s164" type="#_x0000_t75" style="width:14.15pt;height:19.55pt;mso-wrap-distance-left:0.00pt;mso-wrap-distance-top:0.00pt;mso-wrap-distance-right:0.00pt;mso-wrap-distance-bottom:0.00pt;" filled="f" stroked="f">
            <v:path textboxrect="0,0,0,0"/>
            <v:imagedata r:id="rId343" o:title=""/>
          </v:shape>
          <o:OLEObject DrawAspect="Content" r:id="rId344" ObjectID="_152504164" ProgID="Equation.3" ShapeID="_x0000_i164" Type="Embed"/>
        </w:object>
      </w:r>
      <w:r>
        <w:rPr>
          <w:sz w:val="20"/>
          <w:szCs w:val="20"/>
        </w:rPr>
        <w:t xml:space="preserve"> - удельный расход топлива на выработку электроэнергии после технологического нарушения на оставшемся в работе оборудования, (</w:t>
      </w:r>
      <w:r>
        <w:rPr>
          <w:sz w:val="20"/>
          <w:szCs w:val="20"/>
        </w:rPr>
        <w:t xml:space="preserve">т.у.т</w:t>
      </w:r>
      <w:r>
        <w:rPr>
          <w:sz w:val="20"/>
          <w:szCs w:val="20"/>
        </w:rPr>
        <w:t xml:space="preserve">/кВт</w:t>
      </w:r>
      <w:r>
        <w:rPr>
          <w:sz w:val="20"/>
          <w:szCs w:val="20"/>
          <w:rtl/>
        </w:rPr>
        <w:t xml:space="preserve">۰</w:t>
      </w:r>
      <w:r>
        <w:rPr>
          <w:sz w:val="20"/>
          <w:szCs w:val="20"/>
        </w:rPr>
        <w:t xml:space="preserve">ч);</w:t>
      </w:r>
    </w:p>
    <w:p>
      <w:pPr>
        <w:numPr>
          <w:numId w:val="7"/>
          <w:ilvl w:val="0"/>
        </w:numPr>
        <w:tabs>
          <w:tab w:val="num" w:pos="540"/>
        </w:tabs>
        <w:ind w:left="1080" w:hanging="570"/>
        <w:rPr>
          <w:sz w:val="20"/>
          <w:szCs w:val="20"/>
        </w:rPr>
      </w:pPr>
      <w:r>
        <w:rPr>
          <w:position w:val="-10"/>
          <w:sz w:val="20"/>
          <w:szCs w:val="20"/>
        </w:rPr>
        <w:object w:dxaOrig="3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5" o:spid="_x0000_s165" type="#_x0000_t75" style="width:19.55pt;height:19.55pt;mso-wrap-distance-left:0.00pt;mso-wrap-distance-top:0.00pt;mso-wrap-distance-right:0.00pt;mso-wrap-distance-bottom:0.00pt;" filled="f" stroked="f">
            <v:path textboxrect="0,0,0,0"/>
            <v:imagedata r:id="rId345" o:title=""/>
          </v:shape>
          <o:OLEObject DrawAspect="Content" r:id="rId346" ObjectID="_152504165" ProgID="Equation.3" ShapeID="_x0000_i165" Type="Embed"/>
        </w:object>
      </w:r>
      <w:r>
        <w:rPr>
          <w:sz w:val="20"/>
          <w:szCs w:val="20"/>
        </w:rPr>
        <w:t xml:space="preserve"> - удельный расход топлива на выработку теплоэнергии оставшегося в работе оборудования до технологического нарушения, (</w:t>
      </w:r>
      <w:r>
        <w:rPr>
          <w:sz w:val="20"/>
          <w:szCs w:val="20"/>
        </w:rPr>
        <w:t xml:space="preserve">т.у.т</w:t>
      </w:r>
      <w:r>
        <w:rPr>
          <w:sz w:val="20"/>
          <w:szCs w:val="20"/>
        </w:rPr>
        <w:t xml:space="preserve">./Гкал);</w:t>
      </w:r>
    </w:p>
    <w:p>
      <w:pPr>
        <w:numPr>
          <w:numId w:val="7"/>
          <w:ilvl w:val="0"/>
        </w:numPr>
        <w:tabs>
          <w:tab w:val="num" w:pos="540"/>
        </w:tabs>
        <w:ind w:left="1080" w:hanging="570"/>
        <w:rPr>
          <w:sz w:val="20"/>
          <w:szCs w:val="20"/>
        </w:rPr>
      </w:pPr>
      <w:r>
        <w:rPr>
          <w:position w:val="-12"/>
          <w:sz w:val="20"/>
          <w:szCs w:val="20"/>
        </w:rPr>
        <w:object w:dxaOrig="44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6" o:spid="_x0000_s166" type="#_x0000_t75" style="width:21.65pt;height:21.65pt;mso-wrap-distance-left:0.00pt;mso-wrap-distance-top:0.00pt;mso-wrap-distance-right:0.00pt;mso-wrap-distance-bottom:0.00pt;" filled="f" stroked="f">
            <v:path textboxrect="0,0,0,0"/>
            <v:imagedata r:id="rId347" o:title=""/>
          </v:shape>
          <o:OLEObject DrawAspect="Content" r:id="rId348" ObjectID="_152504166" ProgID="Equation.3" ShapeID="_x0000_i166" Type="Embed"/>
        </w:object>
      </w:r>
      <w:r>
        <w:rPr>
          <w:sz w:val="20"/>
          <w:szCs w:val="20"/>
        </w:rPr>
        <w:t xml:space="preserve"> - удельный расход топлива на выработку теплоэнергии после технологического нарушения на оставшемся в работе оборудования, (</w:t>
      </w:r>
      <w:r>
        <w:rPr>
          <w:sz w:val="20"/>
          <w:szCs w:val="20"/>
        </w:rPr>
        <w:t xml:space="preserve">т.у.т</w:t>
      </w:r>
      <w:r>
        <w:rPr>
          <w:sz w:val="20"/>
          <w:szCs w:val="20"/>
        </w:rPr>
        <w:t xml:space="preserve">/Гкал);</w:t>
      </w:r>
    </w:p>
    <w:p>
      <w:pPr>
        <w:numPr>
          <w:numId w:val="7"/>
          <w:ilvl w:val="0"/>
        </w:numPr>
        <w:tabs>
          <w:tab w:val="num" w:pos="540"/>
        </w:tabs>
        <w:ind w:left="1080" w:hanging="570"/>
        <w:rPr>
          <w:sz w:val="20"/>
          <w:szCs w:val="20"/>
        </w:rPr>
      </w:pPr>
      <w:r>
        <w:rPr>
          <w:position w:val="-12"/>
          <w:sz w:val="20"/>
          <w:szCs w:val="20"/>
        </w:rPr>
        <w:object w:dxaOrig="5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7" o:spid="_x0000_s167" type="#_x0000_t75" style="width:24.55pt;height:19.55pt;mso-wrap-distance-left:0.00pt;mso-wrap-distance-top:0.00pt;mso-wrap-distance-right:0.00pt;mso-wrap-distance-bottom:0.00pt;" filled="f" stroked="f">
            <v:path textboxrect="0,0,0,0"/>
            <v:imagedata r:id="rId349" o:title=""/>
          </v:shape>
          <o:OLEObject DrawAspect="Content" r:id="rId350" ObjectID="_152504167" ProgID="Equation.3" ShapeID="_x0000_i167" Type="Embed"/>
        </w:object>
      </w:r>
      <w:r>
        <w:rPr>
          <w:sz w:val="20"/>
          <w:szCs w:val="20"/>
        </w:rPr>
        <w:t xml:space="preserve"> - цена условного топлива, (руб./</w:t>
      </w:r>
      <w:r>
        <w:rPr>
          <w:sz w:val="20"/>
          <w:szCs w:val="20"/>
        </w:rPr>
        <w:t xml:space="preserve">т.у.т</w:t>
      </w:r>
      <w:r>
        <w:rPr>
          <w:sz w:val="20"/>
          <w:szCs w:val="20"/>
        </w:rPr>
        <w:t xml:space="preserve">.);</w:t>
      </w:r>
    </w:p>
    <w:p>
      <w:pPr>
        <w:numPr>
          <w:numId w:val="7"/>
          <w:ilvl w:val="0"/>
        </w:numPr>
        <w:tabs>
          <w:tab w:val="num" w:pos="540"/>
        </w:tabs>
        <w:ind w:left="1080" w:hanging="570"/>
        <w:rPr>
          <w:sz w:val="20"/>
          <w:szCs w:val="20"/>
        </w:rPr>
      </w:pPr>
      <w:r>
        <w:rPr>
          <w:position w:val="-6"/>
          <w:sz w:val="20"/>
          <w:szCs w:val="20"/>
        </w:rPr>
        <w:object w:dxaOrig="200" w:dyaOrig="2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8" o:spid="_x0000_s168" type="#_x0000_t75" style="width:10.80pt;height:10.40pt;mso-wrap-distance-left:0.00pt;mso-wrap-distance-top:0.00pt;mso-wrap-distance-right:0.00pt;mso-wrap-distance-bottom:0.00pt;" filled="f" stroked="f">
            <v:path textboxrect="0,0,0,0"/>
            <v:imagedata r:id="rId351" o:title=""/>
          </v:shape>
          <o:OLEObject DrawAspect="Content" r:id="rId352" ObjectID="_152504168" ProgID="Equation.3" ShapeID="_x0000_i168" Type="Embed"/>
        </w:object>
      </w:r>
      <w:r>
        <w:rPr>
          <w:sz w:val="20"/>
          <w:szCs w:val="20"/>
        </w:rPr>
        <w:t xml:space="preserve"> - количество оставшегося в работе оборудования.</w:t>
      </w:r>
    </w:p>
    <w:p>
      <w:pPr>
        <w:tabs>
          <w:tab w:val="num" w:pos="540"/>
        </w:tabs>
        <w:ind w:left="1080"/>
        <w:rPr>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Пусковые затраты </w:t>
      </w:r>
    </w:p>
    <w:p>
      <w:pPr>
        <w:ind w:right="-171"/>
        <w:jc w:val="both"/>
        <w:rPr>
          <w:sz w:val="20"/>
          <w:szCs w:val="20"/>
        </w:rPr>
      </w:pPr>
      <w:r>
        <w:rPr>
          <w:position w:val="-12"/>
          <w:sz w:val="20"/>
          <w:szCs w:val="20"/>
        </w:rPr>
        <w:object w:dxaOrig="510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9" o:spid="_x0000_s169" type="#_x0000_t75" style="width:239.30pt;height:14.15pt;mso-wrap-distance-left:0.00pt;mso-wrap-distance-top:0.00pt;mso-wrap-distance-right:0.00pt;mso-wrap-distance-bottom:0.00pt;" filled="f" stroked="f">
            <v:path textboxrect="0,0,0,0"/>
            <v:imagedata r:id="rId353" o:title=""/>
          </v:shape>
          <o:OLEObject DrawAspect="Content" r:id="rId354" ObjectID="_152504169" ProgID="Equation.3" ShapeID="_x0000_i169" Type="Embed"/>
        </w:object>
      </w:r>
      <w:r>
        <w:rPr>
          <w:sz w:val="20"/>
          <w:szCs w:val="20"/>
        </w:rPr>
        <w:t xml:space="preserve">, =___(руб.), где:</w:t>
      </w:r>
    </w:p>
    <w:p>
      <w:pPr>
        <w:spacing w:line="276" w:lineRule="auto"/>
        <w:ind w:right="-141" w:firstLine="426"/>
        <w:jc w:val="both"/>
        <w:rPr>
          <w:rFonts w:eastAsia="Calibri"/>
          <w:sz w:val="20"/>
          <w:szCs w:val="20"/>
        </w:rPr>
      </w:pPr>
      <w:r>
        <w:rPr>
          <w:rFonts w:eastAsia="Calibri"/>
          <w:sz w:val="20"/>
          <w:szCs w:val="20"/>
          <w:lang w:val="en-US"/>
        </w:rPr>
        <w:t xml:space="preserve">B</w:t>
      </w:r>
      <w:r>
        <w:rPr>
          <w:rFonts w:eastAsia="Calibri"/>
          <w:sz w:val="20"/>
          <w:szCs w:val="20"/>
          <w:vertAlign w:val="subscript"/>
        </w:rPr>
        <w:t xml:space="preserve">топ </w:t>
      </w:r>
      <w:r>
        <w:rPr>
          <w:rFonts w:eastAsia="Calibri"/>
          <w:sz w:val="20"/>
          <w:szCs w:val="20"/>
        </w:rPr>
        <w:t xml:space="preserve">= ________ (</w:t>
      </w:r>
      <w:r>
        <w:rPr>
          <w:rFonts w:eastAsia="Calibri"/>
          <w:sz w:val="20"/>
          <w:szCs w:val="20"/>
        </w:rPr>
        <w:t xml:space="preserve">т.у.т</w:t>
      </w:r>
      <w:r>
        <w:rPr>
          <w:rFonts w:eastAsia="Calibri"/>
          <w:sz w:val="20"/>
          <w:szCs w:val="20"/>
        </w:rPr>
        <w:t xml:space="preserve">.)-дополнительный расход условного топлива, затраченного на пусковые операции генерирующего оборудования до включения в сеть и набора диспетчерской нагрузки; расход условного топлива для каждого вида пусков рассчитывается в соответствии с РД 34.08.552-95,</w:t>
      </w:r>
    </w:p>
    <w:p>
      <w:pPr>
        <w:spacing w:line="276" w:lineRule="auto"/>
        <w:ind w:firstLine="426"/>
        <w:jc w:val="both"/>
        <w:rPr>
          <w:rFonts w:eastAsia="Calibri"/>
          <w:sz w:val="20"/>
          <w:szCs w:val="20"/>
        </w:rPr>
      </w:pPr>
      <w:r>
        <w:rPr>
          <w:sz w:val="20"/>
          <w:szCs w:val="20"/>
        </w:rPr>
        <w:t xml:space="preserve">Цтоп</w:t>
      </w:r>
      <w:r>
        <w:rPr>
          <w:rFonts w:eastAsia="Calibri"/>
          <w:sz w:val="20"/>
          <w:szCs w:val="20"/>
        </w:rPr>
        <w:t xml:space="preserve"> = ____ (руб./</w:t>
      </w:r>
      <w:r>
        <w:rPr>
          <w:rFonts w:eastAsia="Calibri"/>
          <w:sz w:val="20"/>
          <w:szCs w:val="20"/>
        </w:rPr>
        <w:t xml:space="preserve">т.у.т</w:t>
      </w:r>
      <w:r>
        <w:rPr>
          <w:rFonts w:eastAsia="Calibri"/>
          <w:sz w:val="20"/>
          <w:szCs w:val="20"/>
        </w:rPr>
        <w:t xml:space="preserve">.)-цена топлива, затраченного на пусковые операции,</w:t>
      </w:r>
    </w:p>
    <w:p>
      <w:pPr>
        <w:spacing w:line="276" w:lineRule="auto"/>
        <w:ind w:firstLine="426"/>
        <w:jc w:val="both"/>
        <w:rPr>
          <w:rFonts w:eastAsia="Calibri"/>
          <w:sz w:val="20"/>
          <w:szCs w:val="20"/>
        </w:rPr>
      </w:pPr>
      <w:r>
        <w:rPr>
          <w:sz w:val="20"/>
          <w:szCs w:val="20"/>
        </w:rPr>
        <w:t xml:space="preserve">Ввод</w:t>
      </w:r>
      <w:r>
        <w:rPr>
          <w:rFonts w:eastAsia="Calibri"/>
          <w:sz w:val="20"/>
          <w:szCs w:val="20"/>
        </w:rPr>
        <w:t xml:space="preserve"> = ____ (т)-дополнительный расход питательной воды на пусковые операции, </w:t>
      </w:r>
    </w:p>
    <w:p>
      <w:pPr>
        <w:spacing w:line="276" w:lineRule="auto"/>
        <w:ind w:firstLine="426"/>
        <w:jc w:val="both"/>
        <w:rPr>
          <w:rFonts w:eastAsia="Calibri"/>
          <w:sz w:val="20"/>
          <w:szCs w:val="20"/>
        </w:rPr>
      </w:pPr>
      <w:r>
        <w:rPr>
          <w:rFonts w:eastAsia="Calibri"/>
          <w:sz w:val="20"/>
          <w:szCs w:val="20"/>
        </w:rPr>
        <w:t xml:space="preserve">Цвод</w:t>
      </w:r>
      <w:r>
        <w:rPr>
          <w:rFonts w:eastAsia="Calibri"/>
          <w:sz w:val="20"/>
          <w:szCs w:val="20"/>
        </w:rPr>
        <w:t xml:space="preserve"> = ____ (руб./т)-цена воды, использованной на пусковые операции,</w:t>
      </w:r>
    </w:p>
    <w:p>
      <w:pPr>
        <w:spacing w:line="276" w:lineRule="auto"/>
        <w:ind w:firstLine="426"/>
        <w:jc w:val="both"/>
        <w:rPr>
          <w:rFonts w:eastAsia="Calibri"/>
          <w:sz w:val="20"/>
          <w:szCs w:val="20"/>
        </w:rPr>
      </w:pPr>
      <w:r>
        <w:rPr>
          <w:rFonts w:eastAsia="Calibri"/>
          <w:sz w:val="20"/>
          <w:szCs w:val="20"/>
        </w:rPr>
        <w:t xml:space="preserve">Vсн</w:t>
      </w:r>
      <w:r>
        <w:rPr>
          <w:rFonts w:eastAsia="Calibri"/>
          <w:sz w:val="20"/>
          <w:szCs w:val="20"/>
        </w:rPr>
        <w:t xml:space="preserve"> = ____ (МВт۰час)-объем электроэнергии на собственные нужды, использованной на пусковые операции,</w:t>
      </w:r>
    </w:p>
    <w:p>
      <w:pPr>
        <w:spacing w:line="276" w:lineRule="auto"/>
        <w:ind w:firstLine="426"/>
        <w:jc w:val="both"/>
        <w:rPr>
          <w:rFonts w:eastAsia="Calibri"/>
          <w:sz w:val="20"/>
          <w:szCs w:val="20"/>
        </w:rPr>
      </w:pPr>
      <w:r>
        <w:rPr>
          <w:sz w:val="20"/>
          <w:szCs w:val="20"/>
        </w:rPr>
        <w:t xml:space="preserve">Цсн</w:t>
      </w:r>
      <w:r>
        <w:rPr>
          <w:rFonts w:eastAsia="Calibri"/>
          <w:sz w:val="20"/>
          <w:szCs w:val="20"/>
        </w:rPr>
        <w:t xml:space="preserve"> = ____ (руб./МВт۰час)-цена электроэнергии на собственные нужды, использованной на пусковые операции, </w:t>
      </w:r>
    </w:p>
    <w:p>
      <w:pPr>
        <w:spacing w:line="276" w:lineRule="auto"/>
        <w:ind w:firstLine="426"/>
        <w:jc w:val="both"/>
        <w:rPr>
          <w:rFonts w:eastAsia="Calibri"/>
          <w:sz w:val="20"/>
          <w:szCs w:val="20"/>
        </w:rPr>
      </w:pPr>
      <w:r>
        <w:rPr>
          <w:rFonts w:eastAsia="Calibri"/>
          <w:b/>
          <w:position w:val="-10"/>
          <w:sz w:val="20"/>
          <w:szCs w:val="20"/>
        </w:rPr>
        <w:object w:dxaOrig="32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0" o:spid="_x0000_s170" type="#_x0000_t75" style="width:14.15pt;height:14.15pt;mso-wrap-distance-left:0.00pt;mso-wrap-distance-top:0.00pt;mso-wrap-distance-right:0.00pt;mso-wrap-distance-bottom:0.00pt;" filled="f" stroked="f">
            <v:path textboxrect="0,0,0,0"/>
            <v:imagedata r:id="rId355" o:title=""/>
          </v:shape>
          <o:OLEObject DrawAspect="Content" r:id="rId356" ObjectID="_152504170" ProgID="Equation.3" ShapeID="_x0000_i170" Type="Embed"/>
        </w:object>
      </w:r>
      <w:r>
        <w:rPr>
          <w:rFonts w:eastAsia="Calibri"/>
          <w:sz w:val="20"/>
          <w:szCs w:val="20"/>
        </w:rPr>
        <w:t xml:space="preserve"> = ____ (руб.)-прочие затраты на пусковые операции (при наличии).</w:t>
      </w:r>
    </w:p>
    <w:p>
      <w:pPr>
        <w:ind w:firstLine="426"/>
        <w:rPr>
          <w:sz w:val="20"/>
          <w:szCs w:val="20"/>
        </w:rPr>
      </w:pPr>
      <w:r>
        <w:rPr>
          <w:position w:val="-10"/>
          <w:sz w:val="20"/>
          <w:szCs w:val="20"/>
        </w:rPr>
        <w:object w:dxaOrig="46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1" o:spid="_x0000_s171" type="#_x0000_t75" style="width:21.65pt;height:14.15pt;mso-wrap-distance-left:0.00pt;mso-wrap-distance-top:0.00pt;mso-wrap-distance-right:0.00pt;mso-wrap-distance-bottom:0.00pt;" filled="f" stroked="f">
            <v:path textboxrect="0,0,0,0"/>
            <v:imagedata r:id="rId357" o:title=""/>
          </v:shape>
          <o:OLEObject DrawAspect="Content" r:id="rId358" ObjectID="_152504171" ProgID="Equation.3" ShapeID="_x0000_i171" Type="Embed"/>
        </w:object>
      </w:r>
      <w:r>
        <w:rPr>
          <w:position w:val="-10"/>
          <w:sz w:val="20"/>
          <w:szCs w:val="20"/>
        </w:rPr>
        <w:t xml:space="preserve">-____ </w:t>
      </w:r>
      <w:r>
        <w:rPr>
          <w:rFonts w:eastAsia="Calibri"/>
          <w:sz w:val="20"/>
          <w:szCs w:val="20"/>
        </w:rPr>
        <w:t xml:space="preserve">(</w:t>
      </w:r>
      <w:r>
        <w:rPr>
          <w:rFonts w:eastAsia="Calibri"/>
          <w:sz w:val="20"/>
          <w:szCs w:val="20"/>
        </w:rPr>
        <w:t xml:space="preserve">руб.)--</w:t>
      </w:r>
      <w:r>
        <w:rPr>
          <w:rFonts w:eastAsia="Calibri"/>
          <w:sz w:val="20"/>
          <w:szCs w:val="20"/>
        </w:rPr>
        <w:t xml:space="preserve"> положительный эффект экономии топлива, достигаемый при использовании в термодинамическом цикле электростанции параметров пара растапливаемого парового котла.</w:t>
      </w:r>
    </w:p>
    <w:p>
      <w:pPr>
        <w:spacing w:line="276" w:lineRule="auto"/>
        <w:ind w:firstLine="426"/>
        <w:jc w:val="both"/>
        <w:rPr>
          <w:rFonts w:eastAsia="Calibri"/>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Затраты на возмещение экологического ущерба </w:t>
      </w:r>
    </w:p>
    <w:p>
      <w:pPr>
        <w:ind w:right="-171"/>
        <w:jc w:val="both"/>
        <w:rPr>
          <w:sz w:val="20"/>
          <w:szCs w:val="20"/>
          <w:lang w:val="en-US"/>
        </w:rPr>
      </w:pPr>
      <w:r>
        <w:rPr>
          <w:position w:val="-14"/>
        </w:rPr>
        <w:object w:dxaOrig="222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2" o:spid="_x0000_s172" type="#_x0000_t75" style="width:113.20pt;height:15.80pt;mso-wrap-distance-left:0.00pt;mso-wrap-distance-top:0.00pt;mso-wrap-distance-right:0.00pt;mso-wrap-distance-bottom:0.00pt;" filled="f" stroked="f">
            <v:path textboxrect="0,0,0,0"/>
            <v:imagedata r:id="rId359" o:title=""/>
          </v:shape>
          <o:OLEObject DrawAspect="Content" r:id="rId360" ObjectID="_152504172" ProgID="Equation.3" ShapeID="_x0000_i172" Type="Embed"/>
        </w:object>
      </w:r>
      <w:r>
        <w:rPr>
          <w:lang w:val="en-US"/>
        </w:rPr>
        <w:t xml:space="preserve">+</w:t>
      </w:r>
      <w:r>
        <w:rPr>
          <w:i/>
          <w:lang w:val="en-US"/>
        </w:rPr>
        <w:t xml:space="preserve">S </w:t>
      </w:r>
      <w:r>
        <w:rPr>
          <w:i/>
          <w:vertAlign w:val="subscript"/>
        </w:rPr>
        <w:t xml:space="preserve">оц</w:t>
      </w:r>
      <w:r>
        <w:rPr>
          <w:i/>
          <w:lang w:val="en-US"/>
        </w:rPr>
        <w:t xml:space="preserve">+S </w:t>
      </w:r>
      <w:r>
        <w:rPr>
          <w:i/>
          <w:vertAlign w:val="subscript"/>
        </w:rPr>
        <w:t xml:space="preserve">э</w:t>
      </w:r>
      <w:r>
        <w:rPr>
          <w:i/>
          <w:vertAlign w:val="subscript"/>
          <w:lang w:val="en-US"/>
        </w:rPr>
        <w:t xml:space="preserve">.</w:t>
      </w:r>
      <w:r>
        <w:rPr>
          <w:i/>
          <w:vertAlign w:val="subscript"/>
        </w:rPr>
        <w:t xml:space="preserve">п</w:t>
      </w:r>
      <w:r>
        <w:rPr>
          <w:i/>
          <w:lang w:val="en-US"/>
        </w:rPr>
        <w:t xml:space="preserve">.</w:t>
      </w:r>
      <w:r>
        <w:rPr>
          <w:lang w:val="en-US"/>
        </w:rPr>
        <w:t xml:space="preserve">,+</w:t>
      </w:r>
      <w:r>
        <w:rPr>
          <w:i/>
          <w:lang w:val="en-US"/>
        </w:rPr>
        <w:t xml:space="preserve"> S </w:t>
      </w:r>
      <w:r>
        <w:rPr>
          <w:i/>
          <w:vertAlign w:val="subscript"/>
        </w:rPr>
        <w:t xml:space="preserve">эк</w:t>
      </w:r>
      <w:r>
        <w:rPr>
          <w:i/>
          <w:vertAlign w:val="subscript"/>
          <w:lang w:val="en-US"/>
        </w:rPr>
        <w:t xml:space="preserve">.</w:t>
      </w:r>
      <w:r>
        <w:rPr>
          <w:i/>
          <w:vertAlign w:val="subscript"/>
        </w:rPr>
        <w:t xml:space="preserve">пл</w:t>
      </w:r>
      <w:r>
        <w:rPr>
          <w:i/>
          <w:lang w:val="en-US"/>
        </w:rPr>
        <w:t xml:space="preserve">.+ S* </w:t>
      </w:r>
      <w:r>
        <w:rPr>
          <w:i/>
          <w:vertAlign w:val="subscript"/>
        </w:rPr>
        <w:t xml:space="preserve">эк</w:t>
      </w:r>
      <w:r>
        <w:rPr>
          <w:i/>
          <w:vertAlign w:val="subscript"/>
          <w:lang w:val="en-US"/>
        </w:rPr>
        <w:t xml:space="preserve">.</w:t>
      </w:r>
      <w:r>
        <w:rPr>
          <w:i/>
          <w:vertAlign w:val="subscript"/>
        </w:rPr>
        <w:t xml:space="preserve">пл</w:t>
      </w:r>
      <w:r>
        <w:rPr>
          <w:i/>
          <w:lang w:val="en-US"/>
        </w:rPr>
        <w:t xml:space="preserve">.</w:t>
      </w:r>
      <w:r>
        <w:rPr>
          <w:lang w:val="en-US"/>
        </w:rPr>
        <w:t xml:space="preserve"> (</w:t>
      </w:r>
      <w:r>
        <w:t xml:space="preserve">руб</w:t>
      </w:r>
      <w:r>
        <w:rPr>
          <w:lang w:val="en-US"/>
        </w:rPr>
        <w:t xml:space="preserve">.), </w:t>
      </w:r>
      <w:r>
        <w:rPr>
          <w:sz w:val="20"/>
          <w:szCs w:val="20"/>
        </w:rPr>
        <w:t xml:space="preserve">где</w:t>
      </w:r>
      <w:r>
        <w:rPr>
          <w:sz w:val="20"/>
          <w:szCs w:val="20"/>
          <w:lang w:val="en-US"/>
        </w:rPr>
        <w:t xml:space="preserve">:</w:t>
      </w:r>
    </w:p>
    <w:p>
      <w:pPr>
        <w:numPr>
          <w:numId w:val="9"/>
          <w:ilvl w:val="0"/>
        </w:numPr>
        <w:tabs>
          <w:tab w:val="clear" w:pos="1080"/>
          <w:tab w:val="left" w:pos="284"/>
          <w:tab w:val="num" w:pos="720"/>
        </w:tabs>
        <w:ind w:left="0" w:firstLine="0"/>
        <w:jc w:val="both"/>
        <w:rPr>
          <w:sz w:val="20"/>
          <w:szCs w:val="20"/>
        </w:rPr>
      </w:pPr>
      <w:r>
        <w:rPr>
          <w:position w:val="-14"/>
          <w:sz w:val="20"/>
          <w:szCs w:val="20"/>
        </w:rPr>
        <w:object w:dxaOrig="104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3" o:spid="_x0000_s173" type="#_x0000_t75" style="width:52.45pt;height:15.80pt;mso-wrap-distance-left:0.00pt;mso-wrap-distance-top:0.00pt;mso-wrap-distance-right:0.00pt;mso-wrap-distance-bottom:0.00pt;" filled="f" stroked="f">
            <v:path textboxrect="0,0,0,0"/>
            <v:imagedata r:id="rId361" o:title=""/>
          </v:shape>
          <o:OLEObject DrawAspect="Content" r:id="rId362" ObjectID="_152504173" ProgID="Equation.3" ShapeID="_x0000_i173" Type="Embed"/>
        </w:object>
      </w:r>
      <w:r>
        <w:rPr>
          <w:sz w:val="20"/>
          <w:szCs w:val="20"/>
        </w:rPr>
        <w:t xml:space="preserve"> </w:t>
      </w:r>
      <w:r>
        <w:rPr>
          <w:rFonts w:eastAsia="Calibri"/>
          <w:sz w:val="20"/>
          <w:szCs w:val="20"/>
        </w:rPr>
        <w:t xml:space="preserve">= ____ (руб.) -</w:t>
      </w:r>
      <w:r>
        <w:rPr>
          <w:sz w:val="20"/>
          <w:szCs w:val="20"/>
        </w:rPr>
        <w:t xml:space="preserve"> сумма платежей на возмещение вреда, причиненного объектам охраны окружающей среды, рассчитанн</w:t>
      </w:r>
      <w:r>
        <w:rPr>
          <w:sz w:val="20"/>
          <w:szCs w:val="20"/>
        </w:rPr>
        <w:t xml:space="preserve">ая</w:t>
      </w:r>
      <w:r>
        <w:rPr>
          <w:sz w:val="20"/>
          <w:szCs w:val="20"/>
        </w:rPr>
        <w:t xml:space="preserve"> и предъявленн</w:t>
      </w:r>
      <w:r>
        <w:rPr>
          <w:sz w:val="20"/>
          <w:szCs w:val="20"/>
        </w:rPr>
        <w:t xml:space="preserve">ая</w:t>
      </w:r>
      <w:r>
        <w:rPr>
          <w:sz w:val="20"/>
          <w:szCs w:val="20"/>
        </w:rPr>
        <w:t xml:space="preserve"> природоохранными органами в установленном порядке и подлежащие удовлетворению в соответствии с действующим законодательством;</w:t>
      </w:r>
    </w:p>
    <w:p>
      <w:pPr>
        <w:numPr>
          <w:numId w:val="9"/>
          <w:ilvl w:val="0"/>
        </w:numPr>
        <w:tabs>
          <w:tab w:val="clear" w:pos="1080"/>
          <w:tab w:val="left" w:pos="284"/>
          <w:tab w:val="num" w:pos="720"/>
        </w:tabs>
        <w:ind w:left="0" w:firstLine="0"/>
        <w:jc w:val="both"/>
        <w:rPr>
          <w:sz w:val="20"/>
          <w:szCs w:val="20"/>
        </w:rPr>
      </w:pPr>
      <w:r>
        <w:rPr>
          <w:position w:val="-14"/>
          <w:sz w:val="20"/>
          <w:szCs w:val="20"/>
        </w:rPr>
        <w:object w:dxaOrig="460" w:dyaOrig="3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4" o:spid="_x0000_s174" type="#_x0000_t75" style="width:24.55pt;height:15.80pt;mso-wrap-distance-left:0.00pt;mso-wrap-distance-top:0.00pt;mso-wrap-distance-right:0.00pt;mso-wrap-distance-bottom:0.00pt;" filled="f" stroked="f">
            <v:path textboxrect="0,0,0,0"/>
            <v:imagedata r:id="rId363" o:title=""/>
          </v:shape>
          <o:OLEObject DrawAspect="Content" r:id="rId364" ObjectID="_152504174" ProgID="Equation.3" ShapeID="_x0000_i174" Type="Embed"/>
        </w:object>
      </w:r>
      <w:r>
        <w:rPr>
          <w:sz w:val="20"/>
          <w:szCs w:val="20"/>
        </w:rPr>
        <w:t xml:space="preserve"> </w:t>
      </w:r>
      <w:r>
        <w:rPr>
          <w:rFonts w:eastAsia="Calibri"/>
          <w:sz w:val="20"/>
          <w:szCs w:val="20"/>
        </w:rPr>
        <w:t xml:space="preserve">= ____ (руб.) </w:t>
      </w:r>
      <w:r>
        <w:rPr>
          <w:sz w:val="20"/>
          <w:szCs w:val="20"/>
        </w:rPr>
        <w:t xml:space="preserve">- стоимость работ, выполненных предприятием по ликвидации загрязнений объекта окружающей среды, рекультивации нарушенных земель, искусственному восстановлению биологических ресурсов вследствие технологического нарушения, аварии.</w:t>
      </w:r>
    </w:p>
    <w:p>
      <w:pPr>
        <w:numPr>
          <w:numId w:val="9"/>
          <w:ilvl w:val="0"/>
        </w:numPr>
        <w:tabs>
          <w:tab w:val="left" w:pos="284"/>
        </w:tabs>
        <w:ind w:left="0" w:firstLine="0"/>
        <w:jc w:val="both"/>
        <w:rPr>
          <w:sz w:val="20"/>
          <w:szCs w:val="20"/>
        </w:rPr>
      </w:pPr>
      <w:r>
        <w:rPr>
          <w:i/>
          <w:sz w:val="20"/>
          <w:szCs w:val="20"/>
          <w:lang w:val="en-US"/>
        </w:rPr>
        <w:t xml:space="preserve">S</w:t>
      </w:r>
      <w:r>
        <w:rPr>
          <w:i/>
          <w:sz w:val="20"/>
          <w:szCs w:val="20"/>
        </w:rPr>
        <w:t xml:space="preserve"> </w:t>
      </w:r>
      <w:r>
        <w:rPr>
          <w:i/>
          <w:sz w:val="20"/>
          <w:szCs w:val="20"/>
          <w:vertAlign w:val="subscript"/>
        </w:rPr>
        <w:t xml:space="preserve">оц</w:t>
      </w:r>
      <w:r>
        <w:rPr>
          <w:i/>
          <w:sz w:val="20"/>
          <w:szCs w:val="20"/>
          <w:vertAlign w:val="subscript"/>
        </w:rPr>
        <w:t xml:space="preserve"> </w:t>
      </w:r>
      <w:r>
        <w:rPr>
          <w:rFonts w:eastAsia="Calibri"/>
          <w:sz w:val="20"/>
          <w:szCs w:val="20"/>
        </w:rPr>
        <w:t xml:space="preserve">= ____ (руб.) </w:t>
      </w:r>
      <w:r>
        <w:rPr>
          <w:sz w:val="20"/>
          <w:szCs w:val="20"/>
        </w:rPr>
        <w:t xml:space="preserve">- сумма затрат на проведение работ по оценке вредного воздействия на окружающую природную среду, исчислению убытков и оформлению соответствующих документов;</w:t>
      </w:r>
    </w:p>
    <w:p>
      <w:pPr>
        <w:numPr>
          <w:numId w:val="9"/>
          <w:ilvl w:val="0"/>
        </w:numPr>
        <w:tabs>
          <w:tab w:val="left" w:pos="284"/>
        </w:tabs>
        <w:ind w:left="0" w:firstLine="0"/>
        <w:jc w:val="both"/>
        <w:rPr>
          <w:sz w:val="20"/>
          <w:szCs w:val="20"/>
        </w:rPr>
      </w:pPr>
      <w:r>
        <w:rPr>
          <w:i/>
          <w:sz w:val="20"/>
          <w:szCs w:val="20"/>
          <w:lang w:val="en-US"/>
        </w:rPr>
        <w:t xml:space="preserve">S</w:t>
      </w:r>
      <w:r>
        <w:rPr>
          <w:i/>
          <w:sz w:val="20"/>
          <w:szCs w:val="20"/>
        </w:rPr>
        <w:t xml:space="preserve"> </w:t>
      </w:r>
      <w:r>
        <w:rPr>
          <w:i/>
          <w:sz w:val="20"/>
          <w:szCs w:val="20"/>
          <w:vertAlign w:val="subscript"/>
        </w:rPr>
        <w:t xml:space="preserve">эк.пл</w:t>
      </w:r>
      <w:r>
        <w:rPr>
          <w:i/>
          <w:sz w:val="20"/>
          <w:szCs w:val="20"/>
        </w:rPr>
        <w:t xml:space="preserve">.</w:t>
      </w:r>
      <w:r>
        <w:rPr>
          <w:rFonts w:eastAsia="Calibri"/>
          <w:sz w:val="20"/>
          <w:szCs w:val="20"/>
        </w:rPr>
        <w:t xml:space="preserve">= ____ (руб.) </w:t>
      </w:r>
      <w:r>
        <w:rPr>
          <w:i/>
          <w:sz w:val="20"/>
          <w:szCs w:val="20"/>
        </w:rPr>
        <w:t xml:space="preserve">– </w:t>
      </w:r>
      <w:r>
        <w:rPr>
          <w:sz w:val="20"/>
          <w:szCs w:val="20"/>
        </w:rPr>
        <w:t xml:space="preserve">сумма экологических платежей, начисленных за рассматриваемый период по направлению оказанного негативного воздействия;</w:t>
      </w:r>
    </w:p>
    <w:p>
      <w:pPr>
        <w:numPr>
          <w:numId w:val="9"/>
          <w:ilvl w:val="0"/>
        </w:numPr>
        <w:tabs>
          <w:tab w:val="left" w:pos="284"/>
        </w:tabs>
        <w:ind w:left="0" w:firstLine="0"/>
        <w:jc w:val="both"/>
        <w:rPr>
          <w:sz w:val="20"/>
          <w:szCs w:val="20"/>
        </w:rPr>
      </w:pPr>
      <w:r>
        <w:rPr>
          <w:i/>
          <w:sz w:val="20"/>
          <w:szCs w:val="20"/>
          <w:lang w:val="en-US"/>
        </w:rPr>
        <w:t xml:space="preserve">S</w:t>
      </w:r>
      <w:r>
        <w:rPr>
          <w:i/>
          <w:sz w:val="20"/>
          <w:szCs w:val="20"/>
        </w:rPr>
        <w:t xml:space="preserve">* </w:t>
      </w:r>
      <w:r>
        <w:rPr>
          <w:i/>
          <w:sz w:val="20"/>
          <w:szCs w:val="20"/>
          <w:vertAlign w:val="subscript"/>
        </w:rPr>
        <w:t xml:space="preserve">эк.пл</w:t>
      </w:r>
      <w:r>
        <w:rPr>
          <w:i/>
          <w:sz w:val="20"/>
          <w:szCs w:val="20"/>
        </w:rPr>
        <w:t xml:space="preserve">.</w:t>
      </w:r>
      <w:r>
        <w:rPr>
          <w:rFonts w:eastAsia="Calibri"/>
          <w:sz w:val="20"/>
          <w:szCs w:val="20"/>
        </w:rPr>
        <w:t xml:space="preserve"> = ____ (руб.) </w:t>
      </w:r>
      <w:r>
        <w:rPr>
          <w:i/>
          <w:sz w:val="20"/>
          <w:szCs w:val="20"/>
        </w:rPr>
        <w:t xml:space="preserve">– </w:t>
      </w:r>
      <w:r>
        <w:rPr>
          <w:sz w:val="20"/>
          <w:szCs w:val="20"/>
        </w:rPr>
        <w:t xml:space="preserve">иные суммы ущерба, взыскиваемые по решению суда, включая упущенную выгоду истца</w:t>
      </w:r>
      <w:r>
        <w:rPr>
          <w:i/>
          <w:sz w:val="20"/>
          <w:szCs w:val="20"/>
        </w:rPr>
        <w:t xml:space="preserve">.</w:t>
      </w:r>
    </w:p>
    <w:p>
      <w:pPr>
        <w:spacing w:line="276" w:lineRule="auto"/>
        <w:ind w:firstLine="426"/>
        <w:contextualSpacing/>
        <w:jc w:val="both"/>
        <w:rPr>
          <w:rFonts w:eastAsia="Calibri"/>
          <w:b/>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Затраты на возмещение социального ущерба </w:t>
      </w:r>
    </w:p>
    <w:p>
      <w:pPr>
        <w:spacing w:line="276" w:lineRule="auto"/>
        <w:ind w:firstLine="426"/>
        <w:contextualSpacing/>
        <w:jc w:val="both"/>
        <w:rPr>
          <w:rFonts w:eastAsia="Calibri"/>
          <w:b/>
          <w:sz w:val="20"/>
          <w:szCs w:val="20"/>
        </w:rPr>
      </w:pPr>
      <w:r>
        <w:rPr>
          <w:rFonts w:eastAsia="Calibri"/>
          <w:b/>
          <w:sz w:val="20"/>
          <w:szCs w:val="20"/>
          <w:lang w:val="en-US"/>
        </w:rPr>
        <w:t xml:space="preserve">U</w:t>
      </w:r>
      <w:r>
        <w:rPr>
          <w:rFonts w:eastAsia="Calibri"/>
          <w:b/>
          <w:sz w:val="20"/>
          <w:szCs w:val="20"/>
        </w:rPr>
        <w:t xml:space="preserve">6 = ____ (руб.).</w:t>
      </w:r>
    </w:p>
    <w:p>
      <w:pPr>
        <w:spacing w:line="276" w:lineRule="auto"/>
        <w:ind w:firstLine="426"/>
        <w:contextualSpacing/>
        <w:jc w:val="both"/>
        <w:rPr>
          <w:rFonts w:eastAsia="Calibri"/>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Затраты электростанции на возмещение убытков потребителям</w:t>
      </w:r>
    </w:p>
    <w:p>
      <w:pPr>
        <w:spacing w:line="276" w:lineRule="auto"/>
        <w:ind w:firstLine="426"/>
        <w:contextualSpacing/>
        <w:jc w:val="both"/>
        <w:rPr>
          <w:rFonts w:eastAsia="Calibri"/>
          <w:b/>
          <w:sz w:val="20"/>
          <w:szCs w:val="20"/>
        </w:rPr>
      </w:pPr>
      <w:r>
        <w:rPr>
          <w:rFonts w:eastAsia="Calibri"/>
          <w:b/>
          <w:sz w:val="20"/>
          <w:szCs w:val="20"/>
          <w:lang w:val="en-US"/>
        </w:rPr>
        <w:t xml:space="preserve">U</w:t>
      </w:r>
      <w:r>
        <w:rPr>
          <w:rFonts w:eastAsia="Calibri"/>
          <w:b/>
          <w:sz w:val="20"/>
          <w:szCs w:val="20"/>
        </w:rPr>
        <w:t xml:space="preserve">7 = ____ (руб.).</w:t>
      </w:r>
    </w:p>
    <w:p>
      <w:pPr>
        <w:spacing w:line="276" w:lineRule="auto"/>
        <w:ind w:firstLine="426"/>
        <w:contextualSpacing/>
        <w:jc w:val="both"/>
        <w:rPr>
          <w:rFonts w:eastAsia="Calibri"/>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Потери на балансирующем рынке по собственной инициативе</w:t>
      </w:r>
    </w:p>
    <w:p>
      <w:pPr>
        <w:ind w:firstLine="720"/>
        <w:jc w:val="center"/>
        <w:rPr>
          <w:b/>
          <w:sz w:val="20"/>
          <w:szCs w:val="20"/>
        </w:rPr>
      </w:pPr>
      <w:r>
        <w:rPr>
          <w:position w:val="-28"/>
          <w:sz w:val="20"/>
          <w:szCs w:val="20"/>
        </w:rPr>
        <w:object w:dxaOrig="768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5" o:spid="_x0000_s175" type="#_x0000_t75" style="width:344.20pt;height:29.95pt;mso-wrap-distance-left:0.00pt;mso-wrap-distance-top:0.00pt;mso-wrap-distance-right:0.00pt;mso-wrap-distance-bottom:0.00pt;" filled="f" stroked="f">
            <v:path textboxrect="0,0,0,0"/>
            <v:imagedata r:id="rId365" o:title=""/>
          </v:shape>
          <o:OLEObject DrawAspect="Content" r:id="rId366" ObjectID="_152504175" ProgID="Equation.3" ShapeID="_x0000_i175" Type="Embed"/>
        </w:object>
      </w:r>
      <w:r>
        <w:rPr>
          <w:sz w:val="20"/>
          <w:szCs w:val="20"/>
        </w:rPr>
        <w:t xml:space="preserve">=___(руб.), где:</w:t>
      </w:r>
    </w:p>
    <w:p>
      <w:pPr>
        <w:numPr>
          <w:numId w:val="24"/>
          <w:ilvl w:val="0"/>
        </w:numPr>
        <w:spacing w:line="276" w:lineRule="auto"/>
        <w:ind w:left="0" w:firstLine="426"/>
        <w:contextualSpacing/>
        <w:jc w:val="both"/>
        <w:rPr>
          <w:rFonts w:eastAsia="Calibri"/>
          <w:sz w:val="20"/>
          <w:szCs w:val="20"/>
        </w:rPr>
      </w:pPr>
      <w:r>
        <w:rPr>
          <w:rFonts w:eastAsia="Calibri"/>
          <w:b/>
          <w:sz w:val="20"/>
          <w:szCs w:val="20"/>
        </w:rPr>
        <w:t xml:space="preserve">Неоплата располагаемой мощности электростанции </w:t>
      </w:r>
    </w:p>
    <w:p>
      <w:pPr>
        <w:spacing w:line="276" w:lineRule="auto"/>
        <w:contextualSpacing/>
        <w:jc w:val="center"/>
        <w:rPr>
          <w:sz w:val="20"/>
          <w:szCs w:val="20"/>
        </w:rPr>
      </w:pPr>
      <w:r>
        <w:rPr>
          <w:position w:val="-30"/>
        </w:rPr>
        <w:object w:dxaOrig="2760" w:dyaOrig="7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6" o:spid="_x0000_s176" type="#_x0000_t75" style="width:139.40pt;height:37.45pt;mso-wrap-distance-left:0.00pt;mso-wrap-distance-top:0.00pt;mso-wrap-distance-right:0.00pt;mso-wrap-distance-bottom:0.00pt;" filled="f" stroked="f">
            <v:path textboxrect="0,0,0,0"/>
            <v:imagedata r:id="rId367" o:title=""/>
          </v:shape>
          <o:OLEObject DrawAspect="Content" r:id="rId368" ObjectID="_152504176" ProgID="Equation.3" ShapeID="_x0000_i176" Type="Embed"/>
        </w:object>
      </w:r>
      <m:oMath>
        <m:r>
          <w:rPr>
            <w:rFonts w:ascii="Cambria Math" w:hAnsi="Cambria Math"/>
          </w:rPr>
          <m:t>×</m:t>
        </m:r>
        <m:sSub>
          <m:sSubPr>
            <m:ctrlPr>
              <w:rPr>
                <w:rFonts w:ascii="Cambria Math" w:hAnsi="Cambria Math"/>
                <w:i/>
              </w:rPr>
            </m:ctrlPr>
          </m:sSubPr>
          <m:e>
            <m:r>
              <w:rPr>
                <w:rFonts w:ascii="Cambria Math" w:hAnsi="Cambria Math"/>
                <w:lang w:val="en-US"/>
              </w:rPr>
              <m:t>k</m:t>
            </m:r>
            <m:ctrlPr>
              <w:rPr>
                <w:rFonts w:ascii="Cambria Math" w:hAnsi="Cambria Math"/>
                <w:i/>
                <w:lang w:val="en-US"/>
              </w:rPr>
            </m:ctrlPr>
          </m:e>
          <m:sub>
            <m:r>
              <w:rPr>
                <w:rFonts w:ascii="Cambria Math" w:hAnsi="Cambria Math"/>
              </w:rPr>
              <m:t>диф</m:t>
            </m:r>
          </m:sub>
        </m:sSub>
      </m:oMath>
      <w:r>
        <w:t xml:space="preserve">, </w:t>
      </w:r>
      <w:r>
        <w:rPr>
          <w:sz w:val="20"/>
          <w:szCs w:val="20"/>
        </w:rPr>
        <w:t xml:space="preserve">(руб.),</w:t>
      </w:r>
    </w:p>
    <w:p>
      <w:pPr>
        <w:spacing w:line="276" w:lineRule="auto"/>
        <w:contextualSpacing/>
        <w:jc w:val="center"/>
        <w:rPr>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 Потери от неоказания или неполного оказания услуг по обеспечению системной надежности (НПРЧ, АВРЧМ и пр.) </w:t>
      </w:r>
    </w:p>
    <w:p>
      <w:pPr>
        <w:ind w:left="709"/>
        <w:jc w:val="both"/>
        <w:rPr>
          <w:sz w:val="20"/>
          <w:szCs w:val="20"/>
        </w:rPr>
      </w:pPr>
      <w:r>
        <w:rPr>
          <w:sz w:val="20"/>
          <w:szCs w:val="20"/>
        </w:rPr>
        <w:t xml:space="preserve">Имеют место для станций/блоков, оказывающих услуги по нормированному первичному регулированию частоты; потери от неоказания или неполного предоставления услуг:</w:t>
      </w:r>
    </w:p>
    <w:p>
      <w:pPr>
        <w:ind w:left="720"/>
        <w:jc w:val="center"/>
        <w:rPr>
          <w:sz w:val="20"/>
          <w:szCs w:val="20"/>
        </w:rPr>
      </w:pPr>
      <w:r>
        <w:rPr>
          <w:position w:val="-12"/>
          <w:sz w:val="20"/>
          <w:szCs w:val="20"/>
        </w:rPr>
        <w:object w:dxaOrig="286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7" o:spid="_x0000_s177" type="#_x0000_t75" style="width:143.15pt;height:19.55pt;mso-wrap-distance-left:0.00pt;mso-wrap-distance-top:0.00pt;mso-wrap-distance-right:0.00pt;mso-wrap-distance-bottom:0.00pt;" filled="f" stroked="f">
            <v:path textboxrect="0,0,0,0"/>
            <v:imagedata r:id="rId369" o:title=""/>
          </v:shape>
          <o:OLEObject DrawAspect="Content" r:id="rId370" ObjectID="_152504177" ProgID="Equation.3" ShapeID="_x0000_i177" Type="Embed"/>
        </w:object>
      </w:r>
      <w:r>
        <w:rPr>
          <w:sz w:val="20"/>
          <w:szCs w:val="20"/>
        </w:rPr>
        <w:t xml:space="preserve">=_____ (</w:t>
      </w:r>
      <w:r>
        <w:rPr>
          <w:sz w:val="20"/>
          <w:szCs w:val="20"/>
        </w:rPr>
        <w:t xml:space="preserve">руб</w:t>
      </w:r>
      <w:r>
        <w:rPr>
          <w:sz w:val="20"/>
          <w:szCs w:val="20"/>
        </w:rPr>
        <w:t xml:space="preserve">), где:</w:t>
      </w:r>
    </w:p>
    <w:p>
      <w:pPr>
        <w:numPr>
          <w:numId w:val="12"/>
          <w:ilvl w:val="0"/>
        </w:numPr>
        <w:rPr>
          <w:sz w:val="20"/>
          <w:szCs w:val="20"/>
        </w:rPr>
      </w:pPr>
      <w:r>
        <w:rPr>
          <w:b/>
          <w:position w:val="-12"/>
          <w:sz w:val="20"/>
          <w:szCs w:val="20"/>
        </w:rPr>
        <w:object w:dxaOrig="7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8" o:spid="_x0000_s178" type="#_x0000_t75" style="width:37.45pt;height:19.55pt;mso-wrap-distance-left:0.00pt;mso-wrap-distance-top:0.00pt;mso-wrap-distance-right:0.00pt;mso-wrap-distance-bottom:0.00pt;" filled="f" stroked="f">
            <v:path textboxrect="0,0,0,0"/>
            <v:imagedata r:id="rId371" o:title=""/>
          </v:shape>
          <o:OLEObject DrawAspect="Content" r:id="rId372" ObjectID="_152504178" ProgID="Equation.3" ShapeID="_x0000_i178" Type="Embed"/>
        </w:object>
      </w:r>
      <w:r>
        <w:rPr>
          <w:sz w:val="20"/>
          <w:szCs w:val="20"/>
        </w:rPr>
        <w:t xml:space="preserve"> - число часов неоказания/неполного оказания услуг по НПРЧ;</w:t>
      </w:r>
    </w:p>
    <w:p>
      <w:pPr>
        <w:numPr>
          <w:numId w:val="12"/>
          <w:ilvl w:val="0"/>
        </w:numPr>
        <w:rPr>
          <w:sz w:val="20"/>
          <w:szCs w:val="20"/>
        </w:rPr>
      </w:pPr>
      <w:r>
        <w:rPr>
          <w:position w:val="-10"/>
          <w:sz w:val="20"/>
          <w:szCs w:val="20"/>
        </w:rPr>
        <w:object w:dxaOrig="63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9" o:spid="_x0000_s179" type="#_x0000_t75" style="width:34.55pt;height:19.55pt;mso-wrap-distance-left:0.00pt;mso-wrap-distance-top:0.00pt;mso-wrap-distance-right:0.00pt;mso-wrap-distance-bottom:0.00pt;" filled="f" stroked="f">
            <v:path textboxrect="0,0,0,0"/>
            <v:imagedata r:id="rId373" o:title=""/>
          </v:shape>
          <o:OLEObject DrawAspect="Content" r:id="rId374" ObjectID="_152504179" ProgID="Equation.3" ShapeID="_x0000_i179" Type="Embed"/>
        </w:object>
      </w:r>
      <w:r>
        <w:rPr>
          <w:sz w:val="20"/>
          <w:szCs w:val="20"/>
        </w:rPr>
        <w:t xml:space="preserve"> - диапазон первичного регулирования соответствующего блока, (МВт);</w:t>
      </w:r>
    </w:p>
    <w:p>
      <w:pPr>
        <w:numPr>
          <w:numId w:val="12"/>
          <w:ilvl w:val="0"/>
        </w:numPr>
        <w:rPr>
          <w:sz w:val="20"/>
          <w:szCs w:val="20"/>
        </w:rPr>
      </w:pPr>
      <w:r>
        <w:rPr>
          <w:b/>
          <w:position w:val="-10"/>
          <w:sz w:val="20"/>
          <w:szCs w:val="20"/>
        </w:rPr>
        <w:object w:dxaOrig="70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0" o:spid="_x0000_s180" type="#_x0000_t75" style="width:34.55pt;height:14.15pt;mso-wrap-distance-left:0.00pt;mso-wrap-distance-top:0.00pt;mso-wrap-distance-right:0.00pt;mso-wrap-distance-bottom:0.00pt;" filled="f" stroked="f">
            <v:path textboxrect="0,0,0,0"/>
            <v:imagedata r:id="rId375" o:title=""/>
          </v:shape>
          <o:OLEObject DrawAspect="Content" r:id="rId376" ObjectID="_152504180" ProgID="Equation.3" ShapeID="_x0000_i180" Type="Embed"/>
        </w:object>
      </w:r>
      <w:r>
        <w:rPr>
          <w:sz w:val="20"/>
          <w:szCs w:val="20"/>
        </w:rPr>
        <w:t xml:space="preserve"> - цена оказания услуг НПРЧ, (</w:t>
      </w:r>
      <w:r>
        <w:rPr>
          <w:sz w:val="20"/>
          <w:szCs w:val="20"/>
        </w:rPr>
        <w:t xml:space="preserve">руб</w:t>
      </w:r>
      <w:r>
        <w:rPr>
          <w:sz w:val="20"/>
          <w:szCs w:val="20"/>
        </w:rPr>
        <w:t xml:space="preserve">/МВт).</w:t>
      </w:r>
    </w:p>
    <w:p>
      <w:pPr>
        <w:spacing w:line="276" w:lineRule="auto"/>
        <w:contextualSpacing/>
        <w:jc w:val="center"/>
        <w:rPr>
          <w:sz w:val="20"/>
          <w:szCs w:val="20"/>
        </w:rPr>
      </w:pPr>
    </w:p>
    <w:p>
      <w:pPr>
        <w:spacing w:line="276" w:lineRule="auto"/>
        <w:contextualSpacing/>
        <w:jc w:val="center"/>
        <w:rPr>
          <w:rFonts w:eastAsia="Calibri"/>
          <w:b/>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Прочие расходы </w:t>
      </w:r>
    </w:p>
    <w:p>
      <w:pPr>
        <w:spacing w:line="276" w:lineRule="auto"/>
        <w:ind w:left="426"/>
        <w:contextualSpacing/>
        <w:jc w:val="both"/>
        <w:rPr>
          <w:rFonts w:eastAsia="Calibri"/>
          <w:b/>
          <w:sz w:val="20"/>
          <w:szCs w:val="20"/>
        </w:rPr>
      </w:pPr>
      <w:r>
        <w:rPr>
          <w:rFonts w:eastAsia="Calibri"/>
          <w:b/>
          <w:sz w:val="20"/>
          <w:szCs w:val="20"/>
        </w:rPr>
        <w:t xml:space="preserve">Uпр</w:t>
      </w:r>
      <w:r>
        <w:rPr>
          <w:rFonts w:eastAsia="Calibri"/>
          <w:b/>
          <w:sz w:val="20"/>
          <w:szCs w:val="20"/>
        </w:rPr>
        <w:t xml:space="preserve"> = ____ (руб.).</w:t>
      </w:r>
    </w:p>
    <w:p>
      <w:pPr>
        <w:spacing w:line="276" w:lineRule="auto"/>
        <w:ind w:left="426"/>
        <w:contextualSpacing/>
        <w:jc w:val="both"/>
        <w:rPr>
          <w:rFonts w:eastAsia="Calibri"/>
          <w:b/>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Упущенная выгода от недовыработки тепловой энергии электростанциями.</w:t>
      </w:r>
    </w:p>
    <w:p>
      <w:pPr>
        <w:jc w:val="center"/>
        <w:rPr>
          <w:sz w:val="20"/>
          <w:szCs w:val="20"/>
        </w:rPr>
      </w:pPr>
      <w:r>
        <w:rPr>
          <w:sz w:val="20"/>
          <w:szCs w:val="20"/>
        </w:rPr>
        <w:object w:dxaOrig="2299"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1" o:spid="_x0000_s181" type="#_x0000_t75" style="width:114.05pt;height:19.55pt;mso-wrap-distance-left:0.00pt;mso-wrap-distance-top:0.00pt;mso-wrap-distance-right:0.00pt;mso-wrap-distance-bottom:0.00pt;" filled="f" stroked="f">
            <v:path textboxrect="0,0,0,0"/>
            <v:imagedata r:id="rId377" o:title=""/>
          </v:shape>
          <o:OLEObject DrawAspect="Content" r:id="rId378" ObjectID="_152504181" ProgID="Equation.3" ShapeID="_x0000_i181" Type="Embed"/>
        </w:object>
      </w:r>
      <w:r>
        <w:rPr>
          <w:sz w:val="20"/>
          <w:szCs w:val="20"/>
        </w:rPr>
        <w:t xml:space="preserve">=_____ (</w:t>
      </w:r>
      <w:r>
        <w:rPr>
          <w:sz w:val="20"/>
          <w:szCs w:val="20"/>
        </w:rPr>
        <w:t xml:space="preserve">руб</w:t>
      </w:r>
      <w:r>
        <w:rPr>
          <w:sz w:val="20"/>
          <w:szCs w:val="20"/>
        </w:rPr>
        <w:t xml:space="preserve">), где:</w:t>
      </w:r>
    </w:p>
    <w:p>
      <w:pPr>
        <w:numPr>
          <w:numId w:val="12"/>
          <w:ilvl w:val="0"/>
        </w:numPr>
        <w:tabs>
          <w:tab w:val="clear" w:pos="1080"/>
          <w:tab w:val="left" w:pos="709"/>
          <w:tab w:val="num" w:pos="1276"/>
        </w:tabs>
        <w:ind w:left="142" w:firstLine="142"/>
        <w:rPr>
          <w:sz w:val="20"/>
          <w:szCs w:val="20"/>
        </w:rPr>
      </w:pPr>
      <w:r>
        <w:rPr>
          <w:sz w:val="20"/>
          <w:szCs w:val="20"/>
        </w:rPr>
        <w:object w:dxaOrig="48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2" o:spid="_x0000_s182" type="#_x0000_t75" style="width:24.55pt;height:19.55pt;mso-wrap-distance-left:0.00pt;mso-wrap-distance-top:0.00pt;mso-wrap-distance-right:0.00pt;mso-wrap-distance-bottom:0.00pt;" filled="f" stroked="f">
            <v:path textboxrect="0,0,0,0"/>
            <v:imagedata r:id="rId379" o:title=""/>
          </v:shape>
          <o:OLEObject DrawAspect="Content" r:id="rId380" ObjectID="_152504182" ProgID="Equation.3" ShapeID="_x0000_i182" Type="Embed"/>
        </w:object>
      </w:r>
      <w:r>
        <w:rPr>
          <w:sz w:val="20"/>
          <w:szCs w:val="20"/>
        </w:rPr>
        <w:t xml:space="preserve"> - упущенная выгода от недовыработки электроэнергии;</w:t>
      </w:r>
    </w:p>
    <w:p>
      <w:pPr>
        <w:numPr>
          <w:numId w:val="12"/>
          <w:ilvl w:val="0"/>
        </w:numPr>
        <w:tabs>
          <w:tab w:val="clear" w:pos="1080"/>
          <w:tab w:val="left" w:pos="709"/>
          <w:tab w:val="num" w:pos="1276"/>
        </w:tabs>
        <w:ind w:left="142" w:firstLine="142"/>
        <w:rPr>
          <w:sz w:val="20"/>
          <w:szCs w:val="20"/>
        </w:rPr>
      </w:pPr>
      <w:r>
        <w:rPr>
          <w:sz w:val="20"/>
          <w:szCs w:val="20"/>
        </w:rPr>
        <w:object w:dxaOrig="460" w:dyaOrig="34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3" o:spid="_x0000_s183" type="#_x0000_t75" style="width:24.55pt;height:14.15pt;mso-wrap-distance-left:0.00pt;mso-wrap-distance-top:0.00pt;mso-wrap-distance-right:0.00pt;mso-wrap-distance-bottom:0.00pt;" filled="f" stroked="f">
            <v:path textboxrect="0,0,0,0"/>
            <v:imagedata r:id="rId381" o:title=""/>
          </v:shape>
          <o:OLEObject DrawAspect="Content" r:id="rId382" ObjectID="_152504183" ProgID="Equation.3" ShapeID="_x0000_i183" Type="Embed"/>
        </w:object>
      </w:r>
      <w:r>
        <w:rPr>
          <w:sz w:val="20"/>
          <w:szCs w:val="20"/>
        </w:rPr>
        <w:t xml:space="preserve"> - упущенная выгода от недовыработки тепловой энергии;</w:t>
      </w:r>
    </w:p>
    <w:p>
      <w:pPr>
        <w:numPr>
          <w:numId w:val="12"/>
          <w:ilvl w:val="0"/>
        </w:numPr>
        <w:tabs>
          <w:tab w:val="clear" w:pos="1080"/>
          <w:tab w:val="left" w:pos="709"/>
          <w:tab w:val="num" w:pos="1276"/>
        </w:tabs>
        <w:ind w:left="142" w:firstLine="142"/>
        <w:rPr>
          <w:sz w:val="20"/>
          <w:szCs w:val="20"/>
        </w:rPr>
      </w:pPr>
      <w:r>
        <w:rPr>
          <w:sz w:val="20"/>
          <w:szCs w:val="20"/>
        </w:rPr>
        <w:object w:dxaOrig="420" w:dyaOrig="36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4" o:spid="_x0000_s184" type="#_x0000_t75" style="width:15.80pt;height:19.55pt;mso-wrap-distance-left:0.00pt;mso-wrap-distance-top:0.00pt;mso-wrap-distance-right:0.00pt;mso-wrap-distance-bottom:0.00pt;" filled="f" stroked="f">
            <v:path textboxrect="0,0,0,0"/>
            <v:imagedata r:id="rId383" o:title=""/>
          </v:shape>
          <o:OLEObject DrawAspect="Content" r:id="rId384" ObjectID="_152504184" ProgID="Equation.3" ShapeID="_x0000_i184" Type="Embed"/>
        </w:object>
      </w:r>
      <w:r>
        <w:rPr>
          <w:sz w:val="20"/>
          <w:szCs w:val="20"/>
        </w:rPr>
        <w:t xml:space="preserve"> - упущенная выгода при отключениях для устранения повреждений на тепловых сетях.</w:t>
      </w:r>
    </w:p>
    <w:p>
      <w:pPr>
        <w:spacing w:line="276" w:lineRule="auto"/>
        <w:ind w:firstLine="426"/>
        <w:jc w:val="both"/>
        <w:rPr>
          <w:rFonts w:eastAsia="Calibri"/>
          <w:sz w:val="20"/>
          <w:szCs w:val="20"/>
        </w:rPr>
      </w:pPr>
    </w:p>
    <w:p>
      <w:pPr>
        <w:numPr>
          <w:numId w:val="24"/>
          <w:ilvl w:val="0"/>
        </w:numPr>
        <w:spacing w:line="276" w:lineRule="auto"/>
        <w:ind w:left="0" w:firstLine="426"/>
        <w:contextualSpacing/>
        <w:jc w:val="both"/>
        <w:rPr>
          <w:rFonts w:eastAsia="Calibri"/>
          <w:b/>
          <w:sz w:val="20"/>
          <w:szCs w:val="20"/>
        </w:rPr>
      </w:pPr>
      <w:r>
        <w:rPr>
          <w:rFonts w:eastAsia="Calibri"/>
          <w:b/>
          <w:sz w:val="20"/>
          <w:szCs w:val="20"/>
        </w:rPr>
        <w:t xml:space="preserve">Возвратные суммы.</w:t>
      </w:r>
    </w:p>
    <w:p>
      <w:pPr>
        <w:tabs>
          <w:tab w:val="left" w:pos="3123"/>
        </w:tabs>
        <w:spacing w:line="276" w:lineRule="auto"/>
        <w:ind w:firstLine="426"/>
        <w:jc w:val="both"/>
        <w:rPr>
          <w:rFonts w:eastAsia="Calibri"/>
          <w:sz w:val="20"/>
          <w:szCs w:val="20"/>
        </w:rPr>
      </w:pPr>
      <w:r>
        <w:rPr>
          <w:rFonts w:eastAsia="Calibri"/>
          <w:b/>
          <w:sz w:val="20"/>
          <w:szCs w:val="20"/>
          <w:lang w:val="en-US"/>
        </w:rPr>
        <w:t xml:space="preserve">S</w:t>
      </w:r>
      <w:r>
        <w:rPr>
          <w:rFonts w:eastAsia="Calibri"/>
          <w:b/>
          <w:sz w:val="20"/>
          <w:szCs w:val="20"/>
          <w:vertAlign w:val="subscript"/>
        </w:rPr>
        <w:t xml:space="preserve">воз</w:t>
      </w:r>
      <w:r>
        <w:rPr>
          <w:rFonts w:eastAsia="Calibri"/>
          <w:b/>
          <w:sz w:val="20"/>
          <w:szCs w:val="20"/>
        </w:rPr>
        <w:t xml:space="preserve"> = ____ (руб.).</w:t>
      </w:r>
    </w:p>
    <w:p>
      <w:pPr>
        <w:spacing w:line="276" w:lineRule="auto"/>
        <w:ind w:firstLine="426"/>
        <w:jc w:val="both"/>
        <w:rPr>
          <w:rFonts w:eastAsia="Calibri"/>
          <w:b/>
          <w:sz w:val="20"/>
          <w:szCs w:val="20"/>
        </w:rPr>
      </w:pPr>
    </w:p>
    <w:p>
      <w:pPr>
        <w:spacing w:line="276" w:lineRule="auto"/>
        <w:ind w:firstLine="426"/>
        <w:jc w:val="both"/>
        <w:rPr>
          <w:rFonts w:eastAsia="Calibri"/>
          <w:b/>
          <w:sz w:val="20"/>
          <w:szCs w:val="20"/>
        </w:rPr>
      </w:pPr>
      <w:r>
        <w:rPr>
          <w:rFonts w:eastAsia="Calibri"/>
          <w:b/>
          <w:sz w:val="20"/>
          <w:szCs w:val="20"/>
        </w:rPr>
        <w:t xml:space="preserve">14. Суммарный экономический ущерб от технологического нарушения</w:t>
      </w:r>
    </w:p>
    <w:p>
      <w:pPr>
        <w:spacing w:line="276" w:lineRule="auto"/>
        <w:ind w:firstLine="426"/>
        <w:jc w:val="both"/>
        <w:rPr>
          <w:rFonts w:eastAsia="Calibri"/>
          <w:b/>
          <w:sz w:val="20"/>
          <w:szCs w:val="20"/>
        </w:rPr>
      </w:pPr>
    </w:p>
    <w:p>
      <w:pPr>
        <w:spacing w:line="276" w:lineRule="auto"/>
        <w:ind w:firstLine="426"/>
        <w:jc w:val="both"/>
        <w:rPr>
          <w:rFonts w:eastAsia="Calibri"/>
          <w:b/>
          <w:sz w:val="20"/>
          <w:szCs w:val="20"/>
        </w:rPr>
      </w:pPr>
      <w:r>
        <w:rPr>
          <w:rFonts w:eastAsia="Calibri"/>
          <w:b/>
          <w:sz w:val="20"/>
          <w:szCs w:val="20"/>
          <w:lang w:val="en-US"/>
        </w:rPr>
        <w:t xml:space="preserve">U</w:t>
      </w:r>
      <w:r>
        <w:rPr>
          <w:rFonts w:eastAsia="Calibri"/>
          <w:b/>
          <w:sz w:val="20"/>
          <w:szCs w:val="20"/>
        </w:rPr>
        <w:t xml:space="preserve"> = </w:t>
      </w:r>
      <w:r>
        <w:rPr>
          <w:rFonts w:eastAsia="Calibri"/>
          <w:b/>
          <w:sz w:val="20"/>
          <w:szCs w:val="20"/>
          <w:lang w:val="en-US"/>
        </w:rPr>
        <w:t xml:space="preserve">U</w:t>
      </w:r>
      <w:r>
        <w:rPr>
          <w:rFonts w:eastAsia="Calibri"/>
          <w:b/>
          <w:sz w:val="20"/>
          <w:szCs w:val="20"/>
        </w:rPr>
        <w:t xml:space="preserve">1 + </w:t>
      </w:r>
      <w:r>
        <w:rPr>
          <w:rFonts w:eastAsia="Calibri"/>
          <w:b/>
          <w:sz w:val="20"/>
          <w:szCs w:val="20"/>
          <w:lang w:val="en-US"/>
        </w:rPr>
        <w:t xml:space="preserve">U</w:t>
      </w:r>
      <w:r>
        <w:rPr>
          <w:rFonts w:eastAsia="Calibri"/>
          <w:b/>
          <w:sz w:val="20"/>
          <w:szCs w:val="20"/>
        </w:rPr>
        <w:t xml:space="preserve">2 + </w:t>
      </w:r>
      <w:r>
        <w:rPr>
          <w:rFonts w:eastAsia="Calibri"/>
          <w:b/>
          <w:sz w:val="20"/>
          <w:szCs w:val="20"/>
          <w:lang w:val="en-US"/>
        </w:rPr>
        <w:t xml:space="preserve">U</w:t>
      </w:r>
      <w:r>
        <w:rPr>
          <w:rFonts w:eastAsia="Calibri"/>
          <w:b/>
          <w:sz w:val="20"/>
          <w:szCs w:val="20"/>
        </w:rPr>
        <w:t xml:space="preserve">3 + </w:t>
      </w:r>
      <w:r>
        <w:rPr>
          <w:rFonts w:eastAsia="Calibri"/>
          <w:b/>
          <w:sz w:val="20"/>
          <w:szCs w:val="20"/>
          <w:lang w:val="en-US"/>
        </w:rPr>
        <w:t xml:space="preserve">U</w:t>
      </w:r>
      <w:r>
        <w:rPr>
          <w:rFonts w:eastAsia="Calibri"/>
          <w:b/>
          <w:sz w:val="20"/>
          <w:szCs w:val="20"/>
        </w:rPr>
        <w:t xml:space="preserve">4 + </w:t>
      </w:r>
      <w:r>
        <w:rPr>
          <w:rFonts w:eastAsia="Calibri"/>
          <w:b/>
          <w:sz w:val="20"/>
          <w:szCs w:val="20"/>
          <w:lang w:val="en-US"/>
        </w:rPr>
        <w:t xml:space="preserve">U</w:t>
      </w:r>
      <w:r>
        <w:rPr>
          <w:rFonts w:eastAsia="Calibri"/>
          <w:b/>
          <w:sz w:val="20"/>
          <w:szCs w:val="20"/>
        </w:rPr>
        <w:t xml:space="preserve">5 + </w:t>
      </w:r>
      <w:r>
        <w:rPr>
          <w:rFonts w:eastAsia="Calibri"/>
          <w:b/>
          <w:sz w:val="20"/>
          <w:szCs w:val="20"/>
          <w:lang w:val="en-US"/>
        </w:rPr>
        <w:t xml:space="preserve">U</w:t>
      </w:r>
      <w:r>
        <w:rPr>
          <w:rFonts w:eastAsia="Calibri"/>
          <w:b/>
          <w:sz w:val="20"/>
          <w:szCs w:val="20"/>
        </w:rPr>
        <w:t xml:space="preserve">6 + </w:t>
      </w:r>
      <w:r>
        <w:rPr>
          <w:rFonts w:eastAsia="Calibri"/>
          <w:b/>
          <w:sz w:val="20"/>
          <w:szCs w:val="20"/>
          <w:lang w:val="en-US"/>
        </w:rPr>
        <w:t xml:space="preserve">U</w:t>
      </w:r>
      <w:r>
        <w:rPr>
          <w:rFonts w:eastAsia="Calibri"/>
          <w:b/>
          <w:sz w:val="20"/>
          <w:szCs w:val="20"/>
        </w:rPr>
        <w:t xml:space="preserve">7 + </w:t>
      </w:r>
      <w:r>
        <w:rPr>
          <w:rFonts w:eastAsia="Calibri"/>
          <w:b/>
          <w:sz w:val="20"/>
          <w:szCs w:val="20"/>
          <w:lang w:val="en-US"/>
        </w:rPr>
        <w:t xml:space="preserve">U</w:t>
      </w:r>
      <w:r>
        <w:rPr>
          <w:rFonts w:eastAsia="Calibri"/>
          <w:b/>
          <w:sz w:val="20"/>
          <w:szCs w:val="20"/>
        </w:rPr>
        <w:t xml:space="preserve">8 + </w:t>
      </w:r>
      <w:r>
        <w:rPr>
          <w:rFonts w:eastAsia="Calibri"/>
          <w:b/>
          <w:sz w:val="20"/>
          <w:szCs w:val="20"/>
          <w:lang w:val="en-US"/>
        </w:rPr>
        <w:t xml:space="preserve">U</w:t>
      </w:r>
      <w:r>
        <w:rPr>
          <w:rFonts w:eastAsia="Calibri"/>
          <w:b/>
          <w:sz w:val="20"/>
          <w:szCs w:val="20"/>
        </w:rPr>
        <w:t xml:space="preserve">9 + </w:t>
      </w:r>
      <w:r>
        <w:rPr>
          <w:rFonts w:eastAsia="Calibri"/>
          <w:b/>
          <w:sz w:val="20"/>
          <w:szCs w:val="20"/>
          <w:lang w:val="en-US"/>
        </w:rPr>
        <w:t xml:space="preserve">U</w:t>
      </w:r>
      <w:r>
        <w:rPr>
          <w:rFonts w:eastAsia="Calibri"/>
          <w:b/>
          <w:sz w:val="20"/>
          <w:szCs w:val="20"/>
        </w:rPr>
        <w:t xml:space="preserve">10 + </w:t>
      </w:r>
      <w:r>
        <w:rPr>
          <w:rFonts w:eastAsia="Calibri"/>
          <w:b/>
          <w:sz w:val="20"/>
          <w:szCs w:val="20"/>
          <w:lang w:val="en-US"/>
        </w:rPr>
        <w:t xml:space="preserve">U</w:t>
      </w:r>
      <w:r>
        <w:rPr>
          <w:rFonts w:eastAsia="Calibri"/>
          <w:b/>
          <w:sz w:val="20"/>
          <w:szCs w:val="20"/>
        </w:rPr>
        <w:t xml:space="preserve">пр</w:t>
      </w:r>
      <w:r>
        <w:rPr>
          <w:rFonts w:eastAsia="Calibri"/>
          <w:b/>
          <w:sz w:val="20"/>
          <w:szCs w:val="20"/>
        </w:rPr>
        <w:t xml:space="preserve"> + </w:t>
      </w:r>
      <w:r>
        <w:rPr>
          <w:rFonts w:eastAsia="Calibri"/>
          <w:b/>
          <w:sz w:val="20"/>
          <w:szCs w:val="20"/>
          <w:lang w:val="en-US"/>
        </w:rPr>
        <w:t xml:space="preserve">W</w:t>
      </w:r>
      <w:r>
        <w:rPr>
          <w:rFonts w:eastAsia="Calibri"/>
          <w:b/>
          <w:sz w:val="20"/>
          <w:szCs w:val="20"/>
        </w:rPr>
        <w:t xml:space="preserve">м</w:t>
      </w:r>
      <w:r>
        <w:rPr>
          <w:rFonts w:eastAsia="Calibri"/>
          <w:sz w:val="20"/>
          <w:szCs w:val="20"/>
        </w:rPr>
        <w:t xml:space="preserve"> - </w:t>
      </w:r>
      <w:r>
        <w:rPr>
          <w:rFonts w:eastAsia="Calibri"/>
          <w:b/>
          <w:sz w:val="20"/>
          <w:szCs w:val="20"/>
          <w:lang w:val="en-US"/>
        </w:rPr>
        <w:t xml:space="preserve">S</w:t>
      </w:r>
      <w:r>
        <w:rPr>
          <w:rFonts w:eastAsia="Calibri"/>
          <w:b/>
          <w:sz w:val="20"/>
          <w:szCs w:val="20"/>
          <w:vertAlign w:val="subscript"/>
        </w:rPr>
        <w:t xml:space="preserve">воз </w:t>
      </w:r>
      <w:r>
        <w:rPr>
          <w:rFonts w:eastAsia="Calibri"/>
          <w:b/>
          <w:sz w:val="20"/>
          <w:szCs w:val="20"/>
        </w:rPr>
        <w:t xml:space="preserve">= ____ (руб.).</w:t>
      </w:r>
    </w:p>
    <w:p>
      <w:pPr>
        <w:spacing w:line="276" w:lineRule="auto"/>
        <w:ind w:firstLine="426"/>
        <w:jc w:val="both"/>
        <w:rPr>
          <w:rFonts w:eastAsia="Calibri"/>
          <w:b/>
          <w:sz w:val="20"/>
          <w:szCs w:val="20"/>
        </w:rPr>
      </w:pPr>
    </w:p>
    <w:p>
      <w:pPr>
        <w:spacing w:line="276" w:lineRule="auto"/>
        <w:ind w:firstLine="426"/>
        <w:jc w:val="both"/>
        <w:rPr>
          <w:rFonts w:eastAsia="Calibri"/>
          <w:b/>
          <w:i/>
          <w:sz w:val="20"/>
          <w:szCs w:val="20"/>
        </w:rPr>
      </w:pP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r>
      <w:r>
        <w:rPr>
          <w:rFonts w:eastAsia="Calibri"/>
          <w:b/>
          <w:sz w:val="20"/>
          <w:szCs w:val="20"/>
        </w:rPr>
        <w:tab/>
        <w:t xml:space="preserve">(</w:t>
      </w:r>
      <w:r>
        <w:rPr>
          <w:rFonts w:eastAsia="Calibri"/>
          <w:b/>
          <w:i/>
          <w:sz w:val="20"/>
          <w:szCs w:val="20"/>
        </w:rPr>
        <w:t xml:space="preserve">подпись, дата, Фамилия И.О.)</w:t>
      </w:r>
    </w:p>
    <w:p>
      <w:pPr>
        <w:rPr>
          <w:sz w:val="20"/>
          <w:szCs w:val="20"/>
        </w:rPr>
      </w:pPr>
      <w:r>
        <w:rPr>
          <w:sz w:val="20"/>
          <w:szCs w:val="20"/>
        </w:rPr>
        <w:t xml:space="preserve">.</w:t>
      </w:r>
    </w:p>
    <w:p>
      <w:pPr>
        <w:ind w:left="1" w:hanging="1"/>
        <w:jc w:val="both"/>
        <w:rPr>
          <w:b/>
          <w:bCs/>
        </w:rPr>
        <w:sectPr>
          <w:headerReference w:type="even" r:id="rId10"/>
          <w:headerReference w:type="default" r:id="rId11"/>
          <w:headerReference w:type="first" r:id="rId12"/>
          <w:footerReference w:type="even" r:id="rId16"/>
          <w:footerReference w:type="default" r:id="rId17"/>
          <w:footnotePr>
            <w:numRestart w:val="eachSect"/>
          </w:footnotePr>
          <w:pgSz w:w="11906" w:h="16838"/>
          <w:pgMar w:top="1418" w:right="707" w:bottom="1134" w:left="1418" w:header="624" w:footer="546" w:gutter="0"/>
          <w:pgNumType w:start="2"/>
          <w:cols w:space="708"/>
          <w:docGrid w:linePitch="360"/>
          <w:titlePg/>
        </w:sectPr>
      </w:pPr>
    </w:p>
    <w:p>
      <w:pPr>
        <w:pStyle w:val="1"/>
        <w:numPr>
          <w:numId w:val="38"/>
          <w:ilvl w:val="1"/>
        </w:numPr>
        <w:spacing w:line="228" w:lineRule="auto"/>
        <w:rPr>
          <w:bCs w:val="0"/>
        </w:rPr>
      </w:pPr>
      <w:bookmarkStart w:id="205" w:name="_Toc488848726"/>
      <w:bookmarkStart w:id="206" w:name="_Toc490640180"/>
      <w:bookmarkStart w:id="207" w:name="_Toc490640209"/>
      <w:bookmarkStart w:id="208" w:name="_Toc10707097"/>
      <w:r>
        <w:rPr>
          <w:bCs w:val="0"/>
        </w:rPr>
        <w:t xml:space="preserve">Приложение 2. Форма предоставления данных по авариям и нарушениям в работе оборудования</w:t>
      </w:r>
      <w:bookmarkEnd w:id="205"/>
      <w:r>
        <w:rPr>
          <w:bCs w:val="0"/>
        </w:rPr>
        <w:t xml:space="preserve">.</w:t>
      </w:r>
      <w:bookmarkEnd w:id="206"/>
      <w:bookmarkEnd w:id="207"/>
      <w:bookmarkEnd w:id="208"/>
    </w:p>
    <w:p>
      <w:pPr>
        <w:tabs>
          <w:tab w:val="left" w:pos="13467"/>
        </w:tabs>
        <w:ind w:left="1" w:right="-59" w:hanging="1"/>
        <w:jc w:val="right"/>
        <w:rPr>
          <w:bCs/>
          <w:sz w:val="16"/>
          <w:szCs w:val="16"/>
        </w:rPr>
      </w:pPr>
      <w:r>
        <w:rPr>
          <w:bCs/>
          <w:sz w:val="16"/>
          <w:szCs w:val="16"/>
        </w:rPr>
        <w:t xml:space="preserve">Таблица 1</w:t>
      </w:r>
    </w:p>
    <w:tbl>
      <w:tblPr>
        <w:tblW w:w="16102" w:type="dxa"/>
        <w:tblInd w:w="-1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A0" w:firstRow="1" w:lastRow="0" w:firstColumn="1" w:lastColumn="0" w:noHBand="0" w:noVBand="0"/>
      </w:tblPr>
      <w:tblGrid>
        <w:gridCol w:w="283"/>
        <w:gridCol w:w="284"/>
        <w:gridCol w:w="283"/>
        <w:gridCol w:w="313"/>
        <w:gridCol w:w="455"/>
        <w:gridCol w:w="284"/>
        <w:gridCol w:w="425"/>
        <w:gridCol w:w="312"/>
        <w:gridCol w:w="425"/>
        <w:gridCol w:w="454"/>
        <w:gridCol w:w="338"/>
        <w:gridCol w:w="382"/>
        <w:gridCol w:w="440"/>
        <w:gridCol w:w="425"/>
        <w:gridCol w:w="455"/>
        <w:gridCol w:w="616"/>
        <w:gridCol w:w="602"/>
        <w:gridCol w:w="710"/>
        <w:gridCol w:w="565"/>
        <w:gridCol w:w="396"/>
        <w:gridCol w:w="283"/>
        <w:gridCol w:w="383"/>
        <w:gridCol w:w="425"/>
        <w:gridCol w:w="420"/>
        <w:gridCol w:w="420"/>
        <w:gridCol w:w="420"/>
        <w:gridCol w:w="420"/>
        <w:gridCol w:w="420"/>
        <w:gridCol w:w="420"/>
        <w:gridCol w:w="420"/>
        <w:gridCol w:w="462"/>
        <w:gridCol w:w="425"/>
        <w:gridCol w:w="426"/>
        <w:gridCol w:w="425"/>
        <w:gridCol w:w="425"/>
        <w:gridCol w:w="438"/>
        <w:gridCol w:w="341"/>
        <w:gridCol w:w="341"/>
        <w:gridCol w:w="341"/>
      </w:tblGrid>
      <w:tr>
        <w:trPr>
          <w:cantSplit/>
          <w:trHeight w:val="1068"/>
        </w:trPr>
        <w:tc>
          <w:tcPr>
            <w:tcW w:w="283" w:type="dxa"/>
            <w:vMerge w:val="restart"/>
            <w:vAlign w:val="center"/>
          </w:tcPr>
          <w:p>
            <w:pPr>
              <w:ind w:left="-85" w:right="-85"/>
              <w:jc w:val="center"/>
              <w:rPr>
                <w:sz w:val="14"/>
                <w:szCs w:val="16"/>
              </w:rPr>
            </w:pPr>
            <w:r>
              <w:rPr>
                <w:sz w:val="14"/>
                <w:szCs w:val="16"/>
              </w:rPr>
              <w:t xml:space="preserve">№</w:t>
            </w:r>
          </w:p>
          <w:p>
            <w:pPr>
              <w:ind w:left="-85" w:right="-85"/>
              <w:jc w:val="center"/>
              <w:rPr>
                <w:sz w:val="14"/>
                <w:szCs w:val="16"/>
              </w:rPr>
            </w:pPr>
            <w:r>
              <w:rPr>
                <w:sz w:val="14"/>
                <w:szCs w:val="16"/>
              </w:rPr>
              <w:t xml:space="preserve">п/п</w:t>
            </w:r>
          </w:p>
        </w:tc>
        <w:tc>
          <w:tcPr>
            <w:tcW w:w="284" w:type="dxa"/>
            <w:vMerge w:val="restart"/>
            <w:textDirection w:val="btLr"/>
          </w:tcPr>
          <w:p>
            <w:pPr>
              <w:ind w:left="-85" w:right="-85"/>
              <w:jc w:val="center"/>
              <w:rPr>
                <w:sz w:val="14"/>
                <w:szCs w:val="16"/>
              </w:rPr>
            </w:pPr>
            <w:r>
              <w:rPr>
                <w:sz w:val="14"/>
                <w:szCs w:val="16"/>
              </w:rPr>
              <w:t xml:space="preserve">Наименование ДО</w:t>
            </w:r>
          </w:p>
        </w:tc>
        <w:tc>
          <w:tcPr>
            <w:tcW w:w="283" w:type="dxa"/>
            <w:vMerge w:val="restart"/>
            <w:textDirection w:val="btLr"/>
            <w:vAlign w:val="center"/>
          </w:tcPr>
          <w:p>
            <w:pPr>
              <w:ind w:left="-85" w:right="-85"/>
              <w:jc w:val="center"/>
              <w:rPr>
                <w:sz w:val="14"/>
                <w:szCs w:val="16"/>
              </w:rPr>
            </w:pPr>
            <w:r>
              <w:rPr>
                <w:sz w:val="14"/>
                <w:szCs w:val="16"/>
              </w:rPr>
              <w:t xml:space="preserve">Филиал</w:t>
            </w:r>
          </w:p>
        </w:tc>
        <w:tc>
          <w:tcPr>
            <w:tcW w:w="313" w:type="dxa"/>
            <w:vMerge w:val="restart"/>
            <w:textDirection w:val="btLr"/>
            <w:vAlign w:val="center"/>
          </w:tcPr>
          <w:p>
            <w:pPr>
              <w:ind w:left="-113" w:right="-113"/>
              <w:jc w:val="center"/>
              <w:rPr>
                <w:sz w:val="14"/>
                <w:szCs w:val="16"/>
              </w:rPr>
            </w:pPr>
            <w:r>
              <w:rPr>
                <w:sz w:val="14"/>
                <w:szCs w:val="16"/>
              </w:rPr>
              <w:t xml:space="preserve">Описание события с указанием причин</w:t>
            </w:r>
          </w:p>
        </w:tc>
        <w:tc>
          <w:tcPr>
            <w:tcW w:w="455" w:type="dxa"/>
            <w:vMerge w:val="restart"/>
            <w:textDirection w:val="btLr"/>
            <w:vAlign w:val="center"/>
          </w:tcPr>
          <w:p>
            <w:pPr>
              <w:ind w:left="-113" w:right="-113"/>
              <w:jc w:val="center"/>
              <w:rPr>
                <w:sz w:val="14"/>
                <w:szCs w:val="16"/>
              </w:rPr>
            </w:pPr>
            <w:r>
              <w:rPr>
                <w:sz w:val="14"/>
                <w:szCs w:val="16"/>
              </w:rPr>
              <w:t xml:space="preserve">Учетный признак события (согласно</w:t>
            </w:r>
          </w:p>
          <w:p>
            <w:pPr>
              <w:ind w:left="-113" w:right="-113"/>
              <w:jc w:val="center"/>
              <w:rPr>
                <w:sz w:val="14"/>
                <w:szCs w:val="16"/>
              </w:rPr>
            </w:pPr>
            <w:r>
              <w:rPr>
                <w:sz w:val="14"/>
                <w:szCs w:val="16"/>
              </w:rPr>
              <w:t xml:space="preserve">п.5. Методики)</w:t>
            </w:r>
          </w:p>
        </w:tc>
        <w:tc>
          <w:tcPr>
            <w:tcW w:w="284" w:type="dxa"/>
            <w:vMerge w:val="restart"/>
            <w:textDirection w:val="btLr"/>
            <w:vAlign w:val="center"/>
          </w:tcPr>
          <w:p>
            <w:pPr>
              <w:ind w:left="-85" w:right="-85"/>
              <w:jc w:val="center"/>
              <w:rPr>
                <w:sz w:val="14"/>
                <w:szCs w:val="16"/>
              </w:rPr>
            </w:pPr>
            <w:r>
              <w:rPr>
                <w:sz w:val="14"/>
                <w:szCs w:val="16"/>
              </w:rPr>
              <w:t xml:space="preserve">Блок</w:t>
            </w:r>
          </w:p>
        </w:tc>
        <w:tc>
          <w:tcPr>
            <w:tcW w:w="425" w:type="dxa"/>
            <w:vMerge w:val="restart"/>
            <w:textDirection w:val="btLr"/>
          </w:tcPr>
          <w:p>
            <w:pPr>
              <w:spacing w:line="226" w:lineRule="auto"/>
              <w:ind w:left="-57" w:right="-57"/>
              <w:jc w:val="center"/>
            </w:pPr>
            <w:r>
              <w:rPr>
                <w:sz w:val="14"/>
                <w:szCs w:val="16"/>
              </w:rPr>
              <w:t xml:space="preserve">Внутренний и официальный учет (ОУ/БА)</w:t>
            </w:r>
          </w:p>
          <w:p>
            <w:pPr>
              <w:rPr>
                <w:sz w:val="14"/>
                <w:szCs w:val="16"/>
              </w:rPr>
            </w:pPr>
          </w:p>
        </w:tc>
        <w:tc>
          <w:tcPr>
            <w:tcW w:w="312" w:type="dxa"/>
            <w:vMerge w:val="restart"/>
            <w:textDirection w:val="btLr"/>
          </w:tcPr>
          <w:p>
            <w:pPr>
              <w:jc w:val="center"/>
              <w:rPr>
                <w:sz w:val="14"/>
                <w:szCs w:val="16"/>
              </w:rPr>
            </w:pPr>
            <w:r>
              <w:rPr>
                <w:sz w:val="14"/>
                <w:szCs w:val="16"/>
              </w:rPr>
              <w:t xml:space="preserve">ДПМ</w:t>
            </w:r>
          </w:p>
        </w:tc>
        <w:tc>
          <w:tcPr>
            <w:tcW w:w="425" w:type="dxa"/>
            <w:vMerge w:val="restart"/>
            <w:textDirection w:val="btLr"/>
            <w:vAlign w:val="center"/>
          </w:tcPr>
          <w:p>
            <w:pPr>
              <w:jc w:val="center"/>
              <w:rPr>
                <w:sz w:val="14"/>
                <w:szCs w:val="16"/>
              </w:rPr>
            </w:pPr>
            <w:r>
              <w:rPr>
                <w:sz w:val="14"/>
                <w:szCs w:val="16"/>
              </w:rPr>
              <w:t xml:space="preserve">Дисп.наим</w:t>
            </w:r>
            <w:r>
              <w:rPr>
                <w:sz w:val="14"/>
                <w:szCs w:val="16"/>
              </w:rPr>
              <w:t xml:space="preserve">.</w:t>
            </w:r>
            <w:r>
              <w:rPr>
                <w:sz w:val="14"/>
                <w:szCs w:val="16"/>
              </w:rPr>
              <w:t xml:space="preserve"> отключившегося (повреждённого) оборудования</w:t>
            </w:r>
          </w:p>
        </w:tc>
        <w:tc>
          <w:tcPr>
            <w:tcW w:w="454" w:type="dxa"/>
            <w:vMerge w:val="restart"/>
            <w:textDirection w:val="btLr"/>
            <w:vAlign w:val="center"/>
          </w:tcPr>
          <w:p>
            <w:pPr>
              <w:ind w:left="-113" w:right="-113"/>
              <w:jc w:val="center"/>
              <w:rPr>
                <w:sz w:val="14"/>
                <w:szCs w:val="16"/>
                <w:lang w:val="en-US"/>
              </w:rPr>
            </w:pPr>
            <w:r>
              <w:rPr>
                <w:sz w:val="14"/>
                <w:szCs w:val="16"/>
              </w:rPr>
              <w:t xml:space="preserve">Тип поврежденного/</w:t>
            </w:r>
            <w:r>
              <w:rPr>
                <w:sz w:val="14"/>
                <w:szCs w:val="16"/>
                <w:lang w:val="en-US"/>
              </w:rPr>
              <w:t xml:space="preserve"> </w:t>
            </w:r>
          </w:p>
          <w:p>
            <w:pPr>
              <w:ind w:left="-113" w:right="-113"/>
              <w:jc w:val="center"/>
              <w:rPr>
                <w:sz w:val="14"/>
                <w:szCs w:val="16"/>
              </w:rPr>
            </w:pPr>
            <w:r>
              <w:rPr>
                <w:sz w:val="14"/>
                <w:szCs w:val="16"/>
              </w:rPr>
              <w:t xml:space="preserve">отказавшегося оборудования</w:t>
            </w:r>
          </w:p>
        </w:tc>
        <w:tc>
          <w:tcPr>
            <w:tcW w:w="338" w:type="dxa"/>
            <w:vMerge w:val="restart"/>
            <w:textDirection w:val="btLr"/>
            <w:vAlign w:val="center"/>
          </w:tcPr>
          <w:p>
            <w:pPr>
              <w:ind w:left="-85" w:right="-85"/>
              <w:jc w:val="center"/>
              <w:rPr>
                <w:sz w:val="14"/>
                <w:szCs w:val="16"/>
              </w:rPr>
            </w:pPr>
            <w:r>
              <w:rPr>
                <w:sz w:val="14"/>
                <w:szCs w:val="16"/>
              </w:rPr>
              <w:t xml:space="preserve">Дата и время события</w:t>
            </w:r>
          </w:p>
        </w:tc>
        <w:tc>
          <w:tcPr>
            <w:tcW w:w="382" w:type="dxa"/>
            <w:vMerge w:val="restart"/>
            <w:textDirection w:val="btLr"/>
            <w:vAlign w:val="center"/>
          </w:tcPr>
          <w:p>
            <w:pPr>
              <w:ind w:left="-85" w:right="-85"/>
              <w:jc w:val="center"/>
              <w:rPr>
                <w:sz w:val="14"/>
                <w:szCs w:val="16"/>
              </w:rPr>
            </w:pPr>
            <w:r>
              <w:rPr>
                <w:sz w:val="14"/>
                <w:szCs w:val="16"/>
              </w:rPr>
              <w:t xml:space="preserve">Дата и время пуска оборудования в работу</w:t>
            </w:r>
          </w:p>
        </w:tc>
        <w:tc>
          <w:tcPr>
            <w:tcW w:w="440" w:type="dxa"/>
            <w:vMerge w:val="restart"/>
            <w:textDirection w:val="btLr"/>
            <w:vAlign w:val="center"/>
          </w:tcPr>
          <w:p>
            <w:pPr>
              <w:ind w:left="-91" w:right="-85"/>
              <w:jc w:val="center"/>
              <w:rPr>
                <w:sz w:val="14"/>
                <w:szCs w:val="16"/>
              </w:rPr>
            </w:pPr>
            <w:r>
              <w:rPr>
                <w:sz w:val="14"/>
                <w:szCs w:val="16"/>
              </w:rPr>
              <w:t xml:space="preserve">Величина снижения </w:t>
            </w:r>
          </w:p>
          <w:p>
            <w:pPr>
              <w:ind w:left="-91" w:right="-85"/>
              <w:jc w:val="center"/>
              <w:rPr>
                <w:sz w:val="14"/>
                <w:szCs w:val="16"/>
              </w:rPr>
            </w:pPr>
            <w:r>
              <w:rPr>
                <w:sz w:val="14"/>
                <w:szCs w:val="16"/>
              </w:rPr>
              <w:t xml:space="preserve">мощности, МВт</w:t>
            </w:r>
          </w:p>
        </w:tc>
        <w:tc>
          <w:tcPr>
            <w:tcW w:w="425" w:type="dxa"/>
            <w:vMerge w:val="restart"/>
            <w:textDirection w:val="btLr"/>
            <w:vAlign w:val="center"/>
          </w:tcPr>
          <w:p>
            <w:pPr>
              <w:ind w:left="-91" w:right="-85"/>
              <w:jc w:val="center"/>
              <w:rPr>
                <w:sz w:val="14"/>
                <w:szCs w:val="16"/>
              </w:rPr>
            </w:pPr>
            <w:r>
              <w:rPr>
                <w:sz w:val="14"/>
                <w:szCs w:val="16"/>
              </w:rPr>
              <w:t xml:space="preserve">Величина недовыработки, </w:t>
            </w:r>
            <w:r>
              <w:rPr>
                <w:sz w:val="14"/>
                <w:szCs w:val="16"/>
              </w:rPr>
              <w:t xml:space="preserve">МВтч</w:t>
            </w:r>
          </w:p>
        </w:tc>
        <w:tc>
          <w:tcPr>
            <w:tcW w:w="455" w:type="dxa"/>
            <w:vMerge w:val="restart"/>
            <w:textDirection w:val="btLr"/>
          </w:tcPr>
          <w:p>
            <w:pPr>
              <w:ind w:left="-227" w:right="-227"/>
              <w:jc w:val="center"/>
              <w:rPr>
                <w:sz w:val="14"/>
                <w:szCs w:val="16"/>
              </w:rPr>
            </w:pPr>
            <w:r>
              <w:rPr>
                <w:sz w:val="14"/>
                <w:szCs w:val="16"/>
              </w:rPr>
              <w:t xml:space="preserve">Величина недопоставки </w:t>
            </w:r>
          </w:p>
          <w:p>
            <w:pPr>
              <w:ind w:left="-227" w:right="-227"/>
              <w:jc w:val="center"/>
              <w:rPr>
                <w:sz w:val="14"/>
                <w:szCs w:val="16"/>
              </w:rPr>
            </w:pPr>
            <w:r>
              <w:rPr>
                <w:sz w:val="14"/>
                <w:szCs w:val="16"/>
              </w:rPr>
              <w:t xml:space="preserve">мощности (по мес.) МВТ</w:t>
            </w:r>
          </w:p>
        </w:tc>
        <w:tc>
          <w:tcPr>
            <w:tcW w:w="2493" w:type="dxa"/>
            <w:gridSpan w:val="4"/>
            <w:shd w:val="clear" w:color="auto" w:fill="auto"/>
            <w:vAlign w:val="center"/>
          </w:tcPr>
          <w:p>
            <w:pPr>
              <w:ind w:left="-85" w:right="-113"/>
              <w:jc w:val="center"/>
              <w:rPr>
                <w:sz w:val="14"/>
                <w:szCs w:val="16"/>
              </w:rPr>
            </w:pPr>
            <w:r>
              <w:rPr>
                <w:sz w:val="14"/>
                <w:szCs w:val="16"/>
              </w:rPr>
              <w:t xml:space="preserve">Классификационные признаки аварии в электроэнергетике и нарушений в работе оборудования</w:t>
            </w:r>
          </w:p>
          <w:p>
            <w:pPr>
              <w:ind w:left="-57" w:right="-57"/>
              <w:jc w:val="center"/>
              <w:rPr>
                <w:sz w:val="14"/>
                <w:szCs w:val="16"/>
              </w:rPr>
            </w:pPr>
            <w:r>
              <w:rPr>
                <w:sz w:val="14"/>
                <w:szCs w:val="16"/>
              </w:rPr>
              <w:t xml:space="preserve">(согласно НПА и ВНД)</w:t>
            </w:r>
          </w:p>
        </w:tc>
        <w:tc>
          <w:tcPr>
            <w:tcW w:w="396" w:type="dxa"/>
            <w:vMerge w:val="restart"/>
            <w:textDirection w:val="btLr"/>
            <w:vAlign w:val="center"/>
          </w:tcPr>
          <w:p>
            <w:pPr>
              <w:ind w:left="-102" w:right="-102"/>
              <w:jc w:val="center"/>
              <w:rPr>
                <w:sz w:val="14"/>
                <w:szCs w:val="16"/>
              </w:rPr>
            </w:pPr>
            <w:r>
              <w:rPr>
                <w:sz w:val="14"/>
                <w:szCs w:val="16"/>
              </w:rPr>
              <w:t xml:space="preserve">Сведения о страховом случае </w:t>
            </w:r>
            <w:r>
              <w:rPr>
                <w:sz w:val="12"/>
                <w:szCs w:val="12"/>
              </w:rPr>
              <w:t xml:space="preserve">(да/нет)</w:t>
            </w:r>
          </w:p>
        </w:tc>
        <w:tc>
          <w:tcPr>
            <w:tcW w:w="283" w:type="dxa"/>
            <w:vMerge w:val="restart"/>
            <w:textDirection w:val="btLr"/>
          </w:tcPr>
          <w:p>
            <w:pPr>
              <w:ind w:left="-113" w:right="-85"/>
              <w:jc w:val="center"/>
              <w:rPr>
                <w:sz w:val="14"/>
                <w:szCs w:val="16"/>
              </w:rPr>
            </w:pPr>
            <w:r>
              <w:rPr>
                <w:sz w:val="14"/>
                <w:szCs w:val="16"/>
              </w:rPr>
              <w:t xml:space="preserve">С повреждением (да/нет)</w:t>
            </w:r>
          </w:p>
        </w:tc>
        <w:tc>
          <w:tcPr>
            <w:tcW w:w="383" w:type="dxa"/>
            <w:vMerge w:val="restart"/>
            <w:vAlign w:val="center"/>
          </w:tcPr>
          <w:p>
            <w:pPr>
              <w:ind w:left="-85" w:right="-85"/>
              <w:jc w:val="center"/>
              <w:rPr>
                <w:sz w:val="14"/>
                <w:szCs w:val="16"/>
              </w:rPr>
            </w:pPr>
            <w:r>
              <w:rPr>
                <w:sz w:val="14"/>
                <w:szCs w:val="16"/>
              </w:rPr>
              <w:t xml:space="preserve">U1,</w:t>
            </w:r>
          </w:p>
          <w:p>
            <w:pPr>
              <w:ind w:left="-85" w:right="-85"/>
              <w:jc w:val="center"/>
              <w:rPr>
                <w:sz w:val="14"/>
                <w:szCs w:val="16"/>
              </w:rPr>
            </w:pPr>
            <w:r>
              <w:rPr>
                <w:sz w:val="14"/>
                <w:szCs w:val="16"/>
              </w:rPr>
              <w:t xml:space="preserve">тыс. руб.</w:t>
            </w:r>
          </w:p>
        </w:tc>
        <w:tc>
          <w:tcPr>
            <w:tcW w:w="425" w:type="dxa"/>
            <w:vMerge w:val="restart"/>
            <w:vAlign w:val="center"/>
          </w:tcPr>
          <w:p>
            <w:pPr>
              <w:ind w:left="-85" w:right="-85"/>
              <w:jc w:val="center"/>
              <w:rPr>
                <w:sz w:val="14"/>
                <w:szCs w:val="16"/>
              </w:rPr>
            </w:pPr>
            <w:r>
              <w:rPr>
                <w:sz w:val="14"/>
                <w:szCs w:val="16"/>
              </w:rPr>
              <w:t xml:space="preserve">U2,</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U3,</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U4,</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U5</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U6,</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U7,</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U8,</w:t>
            </w:r>
          </w:p>
          <w:p>
            <w:pPr>
              <w:ind w:left="-85" w:right="-85"/>
              <w:jc w:val="center"/>
              <w:rPr>
                <w:sz w:val="14"/>
                <w:szCs w:val="16"/>
              </w:rPr>
            </w:pPr>
            <w:r>
              <w:rPr>
                <w:sz w:val="14"/>
                <w:szCs w:val="16"/>
              </w:rPr>
              <w:t xml:space="preserve">тыс. руб.</w:t>
            </w:r>
          </w:p>
        </w:tc>
        <w:tc>
          <w:tcPr>
            <w:tcW w:w="420" w:type="dxa"/>
            <w:vMerge w:val="restart"/>
            <w:vAlign w:val="center"/>
          </w:tcPr>
          <w:p>
            <w:pPr>
              <w:ind w:left="-85" w:right="-85"/>
              <w:jc w:val="center"/>
              <w:rPr>
                <w:sz w:val="14"/>
                <w:szCs w:val="16"/>
              </w:rPr>
            </w:pPr>
            <w:r>
              <w:rPr>
                <w:sz w:val="14"/>
                <w:szCs w:val="16"/>
              </w:rPr>
              <w:t xml:space="preserve">U9,</w:t>
            </w:r>
          </w:p>
          <w:p>
            <w:pPr>
              <w:ind w:left="-85" w:right="-85"/>
              <w:jc w:val="center"/>
              <w:rPr>
                <w:sz w:val="14"/>
                <w:szCs w:val="16"/>
              </w:rPr>
            </w:pPr>
            <w:r>
              <w:rPr>
                <w:sz w:val="14"/>
                <w:szCs w:val="16"/>
              </w:rPr>
              <w:t xml:space="preserve">тыс. руб.</w:t>
            </w:r>
          </w:p>
        </w:tc>
        <w:tc>
          <w:tcPr>
            <w:tcW w:w="462" w:type="dxa"/>
            <w:vMerge w:val="restart"/>
            <w:vAlign w:val="center"/>
          </w:tcPr>
          <w:p>
            <w:pPr>
              <w:ind w:left="-85" w:right="-85"/>
              <w:jc w:val="center"/>
              <w:rPr>
                <w:sz w:val="14"/>
                <w:szCs w:val="16"/>
              </w:rPr>
            </w:pPr>
            <w:r>
              <w:rPr>
                <w:sz w:val="14"/>
                <w:szCs w:val="16"/>
              </w:rPr>
              <w:t xml:space="preserve">U10,</w:t>
            </w:r>
          </w:p>
          <w:p>
            <w:pPr>
              <w:ind w:left="-85" w:right="-85"/>
              <w:jc w:val="center"/>
              <w:rPr>
                <w:sz w:val="14"/>
                <w:szCs w:val="16"/>
              </w:rPr>
            </w:pPr>
            <w:r>
              <w:rPr>
                <w:sz w:val="14"/>
                <w:szCs w:val="16"/>
              </w:rPr>
              <w:t xml:space="preserve">тыс. руб.</w:t>
            </w:r>
          </w:p>
        </w:tc>
        <w:tc>
          <w:tcPr>
            <w:tcW w:w="425" w:type="dxa"/>
            <w:vMerge w:val="restart"/>
            <w:vAlign w:val="center"/>
          </w:tcPr>
          <w:p>
            <w:pPr>
              <w:ind w:left="-85" w:right="-85"/>
              <w:jc w:val="center"/>
              <w:rPr>
                <w:sz w:val="14"/>
                <w:szCs w:val="16"/>
              </w:rPr>
            </w:pPr>
            <w:r>
              <w:rPr>
                <w:sz w:val="14"/>
                <w:szCs w:val="16"/>
              </w:rPr>
              <w:t xml:space="preserve">Uпр</w:t>
            </w:r>
            <w:r>
              <w:rPr>
                <w:sz w:val="14"/>
                <w:szCs w:val="16"/>
              </w:rPr>
              <w:t xml:space="preserve">,</w:t>
            </w:r>
          </w:p>
          <w:p>
            <w:pPr>
              <w:ind w:left="-85" w:right="-85"/>
              <w:jc w:val="center"/>
              <w:rPr>
                <w:sz w:val="14"/>
                <w:szCs w:val="16"/>
              </w:rPr>
            </w:pPr>
            <w:r>
              <w:rPr>
                <w:sz w:val="14"/>
                <w:szCs w:val="16"/>
              </w:rPr>
              <w:t xml:space="preserve">тыс. руб.</w:t>
            </w:r>
          </w:p>
        </w:tc>
        <w:tc>
          <w:tcPr>
            <w:tcW w:w="426" w:type="dxa"/>
            <w:vMerge w:val="restart"/>
            <w:vAlign w:val="center"/>
          </w:tcPr>
          <w:p>
            <w:pPr>
              <w:ind w:left="-85" w:right="-85"/>
              <w:jc w:val="center"/>
              <w:rPr>
                <w:sz w:val="14"/>
                <w:szCs w:val="16"/>
              </w:rPr>
            </w:pPr>
            <w:r>
              <w:rPr>
                <w:sz w:val="14"/>
                <w:szCs w:val="16"/>
              </w:rPr>
              <w:t xml:space="preserve">Wm</w:t>
            </w:r>
            <w:r>
              <w:rPr>
                <w:sz w:val="14"/>
                <w:szCs w:val="16"/>
              </w:rPr>
              <w:t xml:space="preserve">,</w:t>
            </w:r>
          </w:p>
          <w:p>
            <w:pPr>
              <w:ind w:left="-85" w:right="-85"/>
              <w:jc w:val="center"/>
              <w:rPr>
                <w:sz w:val="14"/>
                <w:szCs w:val="16"/>
              </w:rPr>
            </w:pPr>
            <w:r>
              <w:rPr>
                <w:sz w:val="14"/>
                <w:szCs w:val="16"/>
              </w:rPr>
              <w:t xml:space="preserve">тыс.</w:t>
            </w:r>
          </w:p>
          <w:p>
            <w:pPr>
              <w:ind w:left="-85" w:right="-85"/>
              <w:jc w:val="center"/>
              <w:rPr>
                <w:sz w:val="14"/>
                <w:szCs w:val="16"/>
              </w:rPr>
            </w:pPr>
            <w:r>
              <w:rPr>
                <w:sz w:val="14"/>
                <w:szCs w:val="16"/>
              </w:rPr>
              <w:t xml:space="preserve">руб.</w:t>
            </w:r>
          </w:p>
        </w:tc>
        <w:tc>
          <w:tcPr>
            <w:tcW w:w="425" w:type="dxa"/>
            <w:vMerge w:val="restart"/>
            <w:vAlign w:val="center"/>
          </w:tcPr>
          <w:p>
            <w:pPr>
              <w:ind w:left="-85" w:right="-85"/>
              <w:jc w:val="center"/>
              <w:rPr>
                <w:sz w:val="14"/>
                <w:szCs w:val="16"/>
              </w:rPr>
            </w:pPr>
            <w:r>
              <w:rPr>
                <w:sz w:val="14"/>
                <w:szCs w:val="16"/>
              </w:rPr>
              <w:t xml:space="preserve">Sвоз</w:t>
            </w:r>
            <w:r>
              <w:rPr>
                <w:sz w:val="14"/>
                <w:szCs w:val="16"/>
              </w:rPr>
              <w:t xml:space="preserve">,</w:t>
            </w:r>
          </w:p>
          <w:p>
            <w:pPr>
              <w:ind w:left="-85" w:right="-85"/>
              <w:jc w:val="center"/>
              <w:rPr>
                <w:sz w:val="14"/>
                <w:szCs w:val="16"/>
              </w:rPr>
            </w:pPr>
            <w:r>
              <w:rPr>
                <w:sz w:val="10"/>
                <w:szCs w:val="10"/>
              </w:rPr>
              <w:t xml:space="preserve">тыс. руб.</w:t>
            </w:r>
          </w:p>
        </w:tc>
        <w:tc>
          <w:tcPr>
            <w:tcW w:w="425" w:type="dxa"/>
            <w:vMerge w:val="restart"/>
            <w:vAlign w:val="center"/>
          </w:tcPr>
          <w:p>
            <w:pPr>
              <w:ind w:left="-57"/>
              <w:jc w:val="center"/>
              <w:rPr>
                <w:sz w:val="20"/>
                <w:szCs w:val="20"/>
              </w:rPr>
            </w:pPr>
            <w:r>
              <w:rPr>
                <w:b/>
                <w:sz w:val="20"/>
                <w:szCs w:val="20"/>
              </w:rPr>
              <w:t xml:space="preserve">U</w:t>
            </w:r>
            <w:r>
              <w:rPr>
                <w:sz w:val="20"/>
                <w:szCs w:val="20"/>
              </w:rPr>
              <w:t xml:space="preserve">,</w:t>
            </w:r>
          </w:p>
          <w:p>
            <w:pPr>
              <w:ind w:left="-57"/>
              <w:jc w:val="center"/>
              <w:rPr>
                <w:b/>
                <w:sz w:val="20"/>
                <w:szCs w:val="20"/>
              </w:rPr>
            </w:pPr>
            <w:r>
              <w:rPr>
                <w:sz w:val="10"/>
                <w:szCs w:val="10"/>
              </w:rPr>
              <w:t xml:space="preserve">тыс. руб.</w:t>
            </w:r>
          </w:p>
        </w:tc>
        <w:tc>
          <w:tcPr>
            <w:tcW w:w="438" w:type="dxa"/>
            <w:vMerge w:val="restart"/>
            <w:textDirection w:val="btLr"/>
          </w:tcPr>
          <w:p>
            <w:pPr>
              <w:ind w:left="-57" w:right="113"/>
              <w:jc w:val="center"/>
              <w:rPr>
                <w:sz w:val="14"/>
                <w:szCs w:val="14"/>
              </w:rPr>
            </w:pPr>
            <w:r>
              <w:rPr>
                <w:sz w:val="14"/>
                <w:szCs w:val="14"/>
              </w:rPr>
              <w:t xml:space="preserve">Дата формирования окончательных данных по ущербу (п.3.3. Методики)</w:t>
            </w:r>
          </w:p>
        </w:tc>
        <w:tc>
          <w:tcPr>
            <w:tcW w:w="341" w:type="dxa"/>
            <w:vMerge w:val="restart"/>
            <w:textDirection w:val="btLr"/>
          </w:tcPr>
          <w:p>
            <w:pPr>
              <w:ind w:left="-57"/>
              <w:jc w:val="center"/>
              <w:rPr>
                <w:sz w:val="14"/>
                <w:szCs w:val="14"/>
              </w:rPr>
            </w:pPr>
            <w:r>
              <w:rPr>
                <w:sz w:val="14"/>
                <w:szCs w:val="16"/>
              </w:rPr>
              <w:t xml:space="preserve">Ошибки персонала</w:t>
            </w:r>
          </w:p>
        </w:tc>
        <w:tc>
          <w:tcPr>
            <w:tcW w:w="341" w:type="dxa"/>
            <w:vMerge w:val="restart"/>
            <w:textDirection w:val="btLr"/>
          </w:tcPr>
          <w:p>
            <w:pPr>
              <w:ind w:left="-57" w:right="113"/>
              <w:jc w:val="center"/>
              <w:rPr>
                <w:sz w:val="14"/>
                <w:szCs w:val="16"/>
              </w:rPr>
            </w:pPr>
            <w:r>
              <w:rPr>
                <w:sz w:val="14"/>
                <w:szCs w:val="16"/>
              </w:rPr>
              <w:t xml:space="preserve">Не связанные с ТН и коммерческие потери</w:t>
            </w:r>
          </w:p>
        </w:tc>
        <w:tc>
          <w:tcPr>
            <w:tcW w:w="341" w:type="dxa"/>
            <w:vMerge w:val="restart"/>
            <w:textDirection w:val="btLr"/>
          </w:tcPr>
          <w:p>
            <w:pPr>
              <w:ind w:left="-57" w:right="113"/>
              <w:jc w:val="center"/>
              <w:rPr>
                <w:sz w:val="14"/>
                <w:szCs w:val="16"/>
              </w:rPr>
            </w:pPr>
            <w:r>
              <w:rPr>
                <w:sz w:val="14"/>
                <w:szCs w:val="16"/>
              </w:rPr>
              <w:t xml:space="preserve">Классификация «Не ТН», стб.38</w:t>
            </w:r>
          </w:p>
        </w:tc>
      </w:tr>
      <w:tr>
        <w:trPr>
          <w:cantSplit/>
          <w:trHeight w:val="1693"/>
        </w:trPr>
        <w:tc>
          <w:tcPr>
            <w:tcW w:w="283" w:type="dxa"/>
            <w:vMerge w:val="continue"/>
          </w:tcPr>
          <w:p>
            <w:pPr>
              <w:jc w:val="center"/>
              <w:rPr>
                <w:sz w:val="14"/>
                <w:szCs w:val="16"/>
              </w:rPr>
            </w:pPr>
          </w:p>
        </w:tc>
        <w:tc>
          <w:tcPr>
            <w:tcW w:w="284" w:type="dxa"/>
            <w:vMerge w:val="continue"/>
          </w:tcPr>
          <w:p>
            <w:pPr>
              <w:jc w:val="center"/>
              <w:rPr>
                <w:sz w:val="14"/>
                <w:szCs w:val="16"/>
              </w:rPr>
            </w:pPr>
          </w:p>
        </w:tc>
        <w:tc>
          <w:tcPr>
            <w:tcW w:w="283" w:type="dxa"/>
            <w:vMerge w:val="continue"/>
            <w:vAlign w:val="center"/>
          </w:tcPr>
          <w:p>
            <w:pPr>
              <w:jc w:val="center"/>
              <w:rPr>
                <w:sz w:val="14"/>
                <w:szCs w:val="16"/>
              </w:rPr>
            </w:pPr>
          </w:p>
        </w:tc>
        <w:tc>
          <w:tcPr>
            <w:tcW w:w="313" w:type="dxa"/>
            <w:vMerge w:val="continue"/>
            <w:vAlign w:val="center"/>
          </w:tcPr>
          <w:p>
            <w:pPr>
              <w:jc w:val="center"/>
              <w:rPr>
                <w:sz w:val="14"/>
                <w:szCs w:val="16"/>
              </w:rPr>
            </w:pPr>
          </w:p>
        </w:tc>
        <w:tc>
          <w:tcPr>
            <w:tcW w:w="455" w:type="dxa"/>
            <w:vMerge w:val="continue"/>
          </w:tcPr>
          <w:p>
            <w:pPr>
              <w:ind w:left="-113" w:right="-113"/>
              <w:jc w:val="center"/>
              <w:rPr>
                <w:sz w:val="14"/>
                <w:szCs w:val="16"/>
              </w:rPr>
            </w:pPr>
          </w:p>
        </w:tc>
        <w:tc>
          <w:tcPr>
            <w:tcW w:w="284" w:type="dxa"/>
            <w:vMerge w:val="continue"/>
            <w:vAlign w:val="center"/>
          </w:tcPr>
          <w:p>
            <w:pPr>
              <w:ind w:left="-85" w:right="-85"/>
              <w:jc w:val="center"/>
              <w:rPr>
                <w:sz w:val="14"/>
                <w:szCs w:val="16"/>
              </w:rPr>
            </w:pPr>
          </w:p>
        </w:tc>
        <w:tc>
          <w:tcPr>
            <w:tcW w:w="425" w:type="dxa"/>
            <w:vMerge w:val="continue"/>
          </w:tcPr>
          <w:p>
            <w:pPr>
              <w:jc w:val="center"/>
              <w:rPr>
                <w:sz w:val="14"/>
                <w:szCs w:val="16"/>
              </w:rPr>
            </w:pPr>
          </w:p>
        </w:tc>
        <w:tc>
          <w:tcPr>
            <w:tcW w:w="312" w:type="dxa"/>
            <w:vMerge w:val="continue"/>
          </w:tcPr>
          <w:p>
            <w:pPr>
              <w:jc w:val="center"/>
              <w:rPr>
                <w:sz w:val="14"/>
                <w:szCs w:val="16"/>
              </w:rPr>
            </w:pPr>
          </w:p>
        </w:tc>
        <w:tc>
          <w:tcPr>
            <w:tcW w:w="425" w:type="dxa"/>
            <w:vMerge w:val="continue"/>
            <w:vAlign w:val="center"/>
          </w:tcPr>
          <w:p>
            <w:pPr>
              <w:jc w:val="center"/>
              <w:rPr>
                <w:sz w:val="14"/>
                <w:szCs w:val="16"/>
              </w:rPr>
            </w:pPr>
          </w:p>
        </w:tc>
        <w:tc>
          <w:tcPr>
            <w:tcW w:w="454" w:type="dxa"/>
            <w:vMerge w:val="continue"/>
            <w:vAlign w:val="center"/>
          </w:tcPr>
          <w:p>
            <w:pPr>
              <w:jc w:val="center"/>
              <w:rPr>
                <w:sz w:val="14"/>
                <w:szCs w:val="16"/>
              </w:rPr>
            </w:pPr>
          </w:p>
        </w:tc>
        <w:tc>
          <w:tcPr>
            <w:tcW w:w="338" w:type="dxa"/>
            <w:vMerge w:val="continue"/>
            <w:vAlign w:val="center"/>
          </w:tcPr>
          <w:p>
            <w:pPr>
              <w:jc w:val="center"/>
              <w:rPr>
                <w:sz w:val="14"/>
                <w:szCs w:val="16"/>
              </w:rPr>
            </w:pPr>
          </w:p>
        </w:tc>
        <w:tc>
          <w:tcPr>
            <w:tcW w:w="382" w:type="dxa"/>
            <w:vMerge w:val="continue"/>
            <w:vAlign w:val="center"/>
          </w:tcPr>
          <w:p>
            <w:pPr>
              <w:jc w:val="center"/>
              <w:rPr>
                <w:sz w:val="14"/>
                <w:szCs w:val="16"/>
              </w:rPr>
            </w:pPr>
          </w:p>
        </w:tc>
        <w:tc>
          <w:tcPr>
            <w:tcW w:w="440" w:type="dxa"/>
            <w:vMerge w:val="continue"/>
            <w:vAlign w:val="center"/>
          </w:tcPr>
          <w:p>
            <w:pPr>
              <w:jc w:val="center"/>
              <w:rPr>
                <w:sz w:val="14"/>
                <w:szCs w:val="16"/>
              </w:rPr>
            </w:pPr>
          </w:p>
        </w:tc>
        <w:tc>
          <w:tcPr>
            <w:tcW w:w="425" w:type="dxa"/>
            <w:vMerge w:val="continue"/>
            <w:vAlign w:val="center"/>
          </w:tcPr>
          <w:p>
            <w:pPr>
              <w:ind w:left="-108" w:right="-108"/>
              <w:jc w:val="center"/>
              <w:rPr>
                <w:sz w:val="14"/>
                <w:szCs w:val="16"/>
              </w:rPr>
            </w:pPr>
          </w:p>
        </w:tc>
        <w:tc>
          <w:tcPr>
            <w:tcW w:w="455" w:type="dxa"/>
            <w:vMerge w:val="continue"/>
          </w:tcPr>
          <w:p>
            <w:pPr>
              <w:ind w:left="-108" w:right="-108"/>
              <w:jc w:val="center"/>
              <w:rPr>
                <w:sz w:val="14"/>
                <w:szCs w:val="16"/>
              </w:rPr>
            </w:pPr>
          </w:p>
        </w:tc>
        <w:tc>
          <w:tcPr>
            <w:tcW w:w="616" w:type="dxa"/>
            <w:vAlign w:val="center"/>
          </w:tcPr>
          <w:p>
            <w:pPr>
              <w:ind w:left="-108" w:right="-108"/>
              <w:jc w:val="center"/>
              <w:rPr>
                <w:sz w:val="14"/>
                <w:szCs w:val="16"/>
              </w:rPr>
            </w:pPr>
            <w:r>
              <w:rPr>
                <w:sz w:val="14"/>
                <w:szCs w:val="16"/>
              </w:rPr>
              <w:t xml:space="preserve">Код</w:t>
            </w:r>
          </w:p>
          <w:p>
            <w:pPr>
              <w:ind w:left="-108" w:right="-108"/>
              <w:jc w:val="center"/>
              <w:rPr>
                <w:sz w:val="14"/>
                <w:szCs w:val="16"/>
              </w:rPr>
            </w:pPr>
            <w:r>
              <w:rPr>
                <w:sz w:val="14"/>
                <w:szCs w:val="16"/>
              </w:rPr>
              <w:t xml:space="preserve">учетного</w:t>
            </w:r>
          </w:p>
          <w:p>
            <w:pPr>
              <w:ind w:left="-108" w:right="-108"/>
              <w:jc w:val="center"/>
              <w:rPr>
                <w:sz w:val="14"/>
                <w:szCs w:val="16"/>
              </w:rPr>
            </w:pPr>
            <w:r>
              <w:rPr>
                <w:sz w:val="14"/>
                <w:szCs w:val="16"/>
              </w:rPr>
              <w:t xml:space="preserve">признака аварии</w:t>
            </w:r>
          </w:p>
        </w:tc>
        <w:tc>
          <w:tcPr>
            <w:tcW w:w="602" w:type="dxa"/>
            <w:vAlign w:val="center"/>
          </w:tcPr>
          <w:p>
            <w:pPr>
              <w:ind w:left="-108" w:right="-108"/>
              <w:jc w:val="center"/>
              <w:rPr>
                <w:sz w:val="14"/>
                <w:szCs w:val="16"/>
              </w:rPr>
            </w:pPr>
            <w:r>
              <w:rPr>
                <w:sz w:val="14"/>
                <w:szCs w:val="16"/>
              </w:rPr>
              <w:t xml:space="preserve">Код</w:t>
            </w:r>
          </w:p>
          <w:p>
            <w:pPr>
              <w:ind w:left="-108" w:right="-108"/>
              <w:jc w:val="center"/>
              <w:rPr>
                <w:sz w:val="14"/>
                <w:szCs w:val="16"/>
              </w:rPr>
            </w:pPr>
            <w:r>
              <w:rPr>
                <w:sz w:val="14"/>
                <w:szCs w:val="16"/>
              </w:rPr>
              <w:t xml:space="preserve">по виду </w:t>
            </w:r>
            <w:r>
              <w:rPr>
                <w:sz w:val="14"/>
                <w:szCs w:val="16"/>
              </w:rPr>
              <w:t xml:space="preserve">оборудо-вания</w:t>
            </w:r>
          </w:p>
        </w:tc>
        <w:tc>
          <w:tcPr>
            <w:tcW w:w="710" w:type="dxa"/>
            <w:vAlign w:val="center"/>
          </w:tcPr>
          <w:p>
            <w:pPr>
              <w:ind w:left="-113" w:right="-113"/>
              <w:jc w:val="center"/>
              <w:rPr>
                <w:sz w:val="14"/>
                <w:szCs w:val="16"/>
              </w:rPr>
            </w:pPr>
            <w:r>
              <w:rPr>
                <w:sz w:val="14"/>
                <w:szCs w:val="16"/>
              </w:rPr>
              <w:t xml:space="preserve">Код </w:t>
            </w:r>
            <w:r>
              <w:rPr>
                <w:sz w:val="14"/>
                <w:szCs w:val="16"/>
              </w:rPr>
              <w:t xml:space="preserve">организа-ционных</w:t>
            </w:r>
            <w:r>
              <w:rPr>
                <w:sz w:val="14"/>
                <w:szCs w:val="16"/>
              </w:rPr>
              <w:t xml:space="preserve"> причин</w:t>
            </w:r>
          </w:p>
        </w:tc>
        <w:tc>
          <w:tcPr>
            <w:tcW w:w="565" w:type="dxa"/>
            <w:vAlign w:val="center"/>
          </w:tcPr>
          <w:p>
            <w:pPr>
              <w:ind w:left="-113" w:right="-113"/>
              <w:jc w:val="center"/>
              <w:rPr>
                <w:sz w:val="14"/>
                <w:szCs w:val="16"/>
              </w:rPr>
            </w:pPr>
            <w:r>
              <w:rPr>
                <w:sz w:val="14"/>
                <w:szCs w:val="16"/>
              </w:rPr>
              <w:t xml:space="preserve">Код </w:t>
            </w:r>
            <w:r>
              <w:rPr>
                <w:sz w:val="14"/>
                <w:szCs w:val="16"/>
              </w:rPr>
              <w:t xml:space="preserve">техни-ческих</w:t>
            </w:r>
            <w:r>
              <w:rPr>
                <w:sz w:val="14"/>
                <w:szCs w:val="16"/>
              </w:rPr>
              <w:t xml:space="preserve"> </w:t>
            </w:r>
          </w:p>
          <w:p>
            <w:pPr>
              <w:ind w:left="-113" w:right="-113"/>
              <w:jc w:val="center"/>
              <w:rPr>
                <w:sz w:val="14"/>
                <w:szCs w:val="16"/>
              </w:rPr>
            </w:pPr>
            <w:r>
              <w:rPr>
                <w:sz w:val="14"/>
                <w:szCs w:val="16"/>
              </w:rPr>
              <w:t xml:space="preserve">причин</w:t>
            </w:r>
          </w:p>
        </w:tc>
        <w:tc>
          <w:tcPr>
            <w:tcW w:w="396" w:type="dxa"/>
            <w:vMerge w:val="continue"/>
          </w:tcPr>
          <w:p>
            <w:pPr>
              <w:ind w:left="-68" w:right="-68"/>
              <w:jc w:val="center"/>
              <w:rPr>
                <w:sz w:val="12"/>
                <w:szCs w:val="12"/>
              </w:rPr>
            </w:pPr>
          </w:p>
        </w:tc>
        <w:tc>
          <w:tcPr>
            <w:tcW w:w="283" w:type="dxa"/>
            <w:vMerge w:val="continue"/>
          </w:tcPr>
          <w:p>
            <w:pPr>
              <w:ind w:left="-68" w:right="-68"/>
              <w:jc w:val="center"/>
              <w:rPr>
                <w:sz w:val="12"/>
                <w:szCs w:val="12"/>
              </w:rPr>
            </w:pPr>
          </w:p>
        </w:tc>
        <w:tc>
          <w:tcPr>
            <w:tcW w:w="383" w:type="dxa"/>
            <w:vMerge w:val="continue"/>
            <w:vAlign w:val="center"/>
          </w:tcPr>
          <w:p>
            <w:pPr>
              <w:ind w:left="-68" w:right="-68"/>
              <w:jc w:val="center"/>
              <w:rPr>
                <w:sz w:val="12"/>
                <w:szCs w:val="12"/>
              </w:rPr>
            </w:pPr>
          </w:p>
        </w:tc>
        <w:tc>
          <w:tcPr>
            <w:tcW w:w="425" w:type="dxa"/>
            <w:vMerge w:val="continue"/>
            <w:vAlign w:val="center"/>
          </w:tcPr>
          <w:p>
            <w:pPr>
              <w:ind w:left="-57"/>
              <w:jc w:val="center"/>
              <w:rPr>
                <w:sz w:val="14"/>
                <w:szCs w:val="16"/>
              </w:rPr>
            </w:pPr>
          </w:p>
        </w:tc>
        <w:tc>
          <w:tcPr>
            <w:tcW w:w="420" w:type="dxa"/>
            <w:vMerge w:val="continue"/>
            <w:vAlign w:val="center"/>
          </w:tcPr>
          <w:p>
            <w:pPr>
              <w:ind w:left="-57"/>
              <w:jc w:val="center"/>
              <w:rPr>
                <w:sz w:val="14"/>
                <w:szCs w:val="16"/>
              </w:rPr>
            </w:pPr>
          </w:p>
        </w:tc>
        <w:tc>
          <w:tcPr>
            <w:tcW w:w="420" w:type="dxa"/>
            <w:vMerge w:val="continue"/>
            <w:vAlign w:val="center"/>
          </w:tcPr>
          <w:p>
            <w:pPr>
              <w:ind w:left="-57"/>
              <w:jc w:val="center"/>
              <w:rPr>
                <w:sz w:val="14"/>
                <w:szCs w:val="16"/>
              </w:rPr>
            </w:pPr>
          </w:p>
        </w:tc>
        <w:tc>
          <w:tcPr>
            <w:tcW w:w="420" w:type="dxa"/>
            <w:vMerge w:val="continue"/>
            <w:vAlign w:val="center"/>
          </w:tcPr>
          <w:p>
            <w:pPr>
              <w:jc w:val="center"/>
              <w:rPr>
                <w:sz w:val="14"/>
                <w:szCs w:val="16"/>
              </w:rPr>
            </w:pPr>
          </w:p>
        </w:tc>
        <w:tc>
          <w:tcPr>
            <w:tcW w:w="420" w:type="dxa"/>
            <w:vMerge w:val="continue"/>
            <w:vAlign w:val="center"/>
          </w:tcPr>
          <w:p>
            <w:pPr>
              <w:ind w:left="-57"/>
              <w:jc w:val="center"/>
              <w:rPr>
                <w:sz w:val="14"/>
                <w:szCs w:val="16"/>
              </w:rPr>
            </w:pPr>
          </w:p>
        </w:tc>
        <w:tc>
          <w:tcPr>
            <w:tcW w:w="420" w:type="dxa"/>
            <w:vMerge w:val="continue"/>
            <w:vAlign w:val="center"/>
          </w:tcPr>
          <w:p>
            <w:pPr>
              <w:ind w:left="-57"/>
              <w:jc w:val="center"/>
              <w:rPr>
                <w:sz w:val="14"/>
                <w:szCs w:val="16"/>
              </w:rPr>
            </w:pPr>
          </w:p>
        </w:tc>
        <w:tc>
          <w:tcPr>
            <w:tcW w:w="420" w:type="dxa"/>
            <w:vMerge w:val="continue"/>
            <w:vAlign w:val="center"/>
          </w:tcPr>
          <w:p>
            <w:pPr>
              <w:ind w:left="-57"/>
              <w:jc w:val="center"/>
              <w:rPr>
                <w:sz w:val="14"/>
                <w:szCs w:val="16"/>
              </w:rPr>
            </w:pPr>
          </w:p>
        </w:tc>
        <w:tc>
          <w:tcPr>
            <w:tcW w:w="420" w:type="dxa"/>
            <w:vMerge w:val="continue"/>
            <w:vAlign w:val="center"/>
          </w:tcPr>
          <w:p>
            <w:pPr>
              <w:ind w:left="-57"/>
              <w:jc w:val="center"/>
              <w:rPr>
                <w:sz w:val="14"/>
                <w:szCs w:val="16"/>
              </w:rPr>
            </w:pPr>
          </w:p>
        </w:tc>
        <w:tc>
          <w:tcPr>
            <w:tcW w:w="462" w:type="dxa"/>
            <w:vMerge w:val="continue"/>
            <w:vAlign w:val="center"/>
          </w:tcPr>
          <w:p>
            <w:pPr>
              <w:ind w:left="-57"/>
              <w:jc w:val="center"/>
              <w:rPr>
                <w:sz w:val="14"/>
                <w:szCs w:val="16"/>
              </w:rPr>
            </w:pPr>
          </w:p>
        </w:tc>
        <w:tc>
          <w:tcPr>
            <w:tcW w:w="425" w:type="dxa"/>
            <w:vMerge w:val="continue"/>
            <w:vAlign w:val="center"/>
          </w:tcPr>
          <w:p>
            <w:pPr>
              <w:ind w:left="-57"/>
              <w:jc w:val="center"/>
              <w:rPr>
                <w:sz w:val="14"/>
                <w:szCs w:val="16"/>
              </w:rPr>
            </w:pPr>
          </w:p>
        </w:tc>
        <w:tc>
          <w:tcPr>
            <w:tcW w:w="426" w:type="dxa"/>
            <w:vMerge w:val="continue"/>
            <w:vAlign w:val="center"/>
          </w:tcPr>
          <w:p>
            <w:pPr>
              <w:ind w:left="-57"/>
              <w:jc w:val="center"/>
              <w:rPr>
                <w:sz w:val="14"/>
                <w:szCs w:val="16"/>
              </w:rPr>
            </w:pPr>
          </w:p>
        </w:tc>
        <w:tc>
          <w:tcPr>
            <w:tcW w:w="425" w:type="dxa"/>
            <w:vMerge w:val="continue"/>
            <w:vAlign w:val="center"/>
          </w:tcPr>
          <w:p>
            <w:pPr>
              <w:ind w:left="-57"/>
              <w:jc w:val="center"/>
              <w:rPr>
                <w:sz w:val="14"/>
                <w:szCs w:val="16"/>
              </w:rPr>
            </w:pPr>
          </w:p>
        </w:tc>
        <w:tc>
          <w:tcPr>
            <w:tcW w:w="425" w:type="dxa"/>
            <w:vMerge w:val="continue"/>
            <w:vAlign w:val="center"/>
          </w:tcPr>
          <w:p>
            <w:pPr>
              <w:ind w:left="-57"/>
              <w:jc w:val="center"/>
              <w:rPr>
                <w:sz w:val="14"/>
                <w:szCs w:val="16"/>
              </w:rPr>
            </w:pPr>
          </w:p>
        </w:tc>
        <w:tc>
          <w:tcPr>
            <w:tcW w:w="438" w:type="dxa"/>
            <w:vMerge w:val="continue"/>
          </w:tcPr>
          <w:p>
            <w:pPr>
              <w:ind w:left="-57"/>
              <w:jc w:val="center"/>
              <w:rPr>
                <w:sz w:val="14"/>
                <w:szCs w:val="16"/>
              </w:rPr>
            </w:pPr>
          </w:p>
        </w:tc>
        <w:tc>
          <w:tcPr>
            <w:tcW w:w="341" w:type="dxa"/>
            <w:vMerge w:val="continue"/>
          </w:tcPr>
          <w:p>
            <w:pPr>
              <w:ind w:left="-57"/>
              <w:jc w:val="center"/>
              <w:rPr>
                <w:sz w:val="14"/>
                <w:szCs w:val="16"/>
              </w:rPr>
            </w:pPr>
          </w:p>
        </w:tc>
        <w:tc>
          <w:tcPr>
            <w:tcW w:w="341" w:type="dxa"/>
            <w:vMerge w:val="continue"/>
            <w:textDirection w:val="btLr"/>
          </w:tcPr>
          <w:p>
            <w:pPr>
              <w:ind w:left="-57" w:right="113"/>
              <w:jc w:val="center"/>
              <w:rPr>
                <w:sz w:val="14"/>
                <w:szCs w:val="16"/>
              </w:rPr>
            </w:pPr>
          </w:p>
        </w:tc>
        <w:tc>
          <w:tcPr>
            <w:tcW w:w="341" w:type="dxa"/>
            <w:vMerge w:val="continue"/>
            <w:textDirection w:val="btLr"/>
          </w:tcPr>
          <w:p>
            <w:pPr>
              <w:ind w:left="-57" w:right="113"/>
              <w:jc w:val="center"/>
              <w:rPr>
                <w:sz w:val="14"/>
                <w:szCs w:val="16"/>
              </w:rPr>
            </w:pPr>
          </w:p>
        </w:tc>
      </w:tr>
      <w:tr>
        <w:trPr>
          <w:trHeight w:val="142"/>
        </w:trPr>
        <w:tc>
          <w:tcPr>
            <w:tcW w:w="283" w:type="dxa"/>
            <w:vAlign w:val="center"/>
          </w:tcPr>
          <w:p>
            <w:pPr>
              <w:ind w:left="-113" w:right="-170"/>
              <w:jc w:val="center"/>
              <w:rPr>
                <w:b/>
                <w:sz w:val="16"/>
                <w:szCs w:val="16"/>
              </w:rPr>
            </w:pPr>
            <w:r>
              <w:rPr>
                <w:b/>
                <w:sz w:val="16"/>
                <w:szCs w:val="16"/>
              </w:rPr>
              <w:t xml:space="preserve">1</w:t>
            </w:r>
          </w:p>
        </w:tc>
        <w:tc>
          <w:tcPr>
            <w:tcW w:w="284" w:type="dxa"/>
            <w:vAlign w:val="center"/>
          </w:tcPr>
          <w:p>
            <w:pPr>
              <w:ind w:left="-113" w:right="-170"/>
              <w:jc w:val="center"/>
              <w:rPr>
                <w:b/>
                <w:sz w:val="16"/>
                <w:szCs w:val="16"/>
              </w:rPr>
            </w:pPr>
            <w:r>
              <w:rPr>
                <w:b/>
                <w:sz w:val="16"/>
                <w:szCs w:val="16"/>
              </w:rPr>
              <w:t xml:space="preserve">2</w:t>
            </w:r>
          </w:p>
        </w:tc>
        <w:tc>
          <w:tcPr>
            <w:tcW w:w="283" w:type="dxa"/>
            <w:vAlign w:val="center"/>
          </w:tcPr>
          <w:p>
            <w:pPr>
              <w:ind w:left="-113" w:right="-170"/>
              <w:jc w:val="center"/>
              <w:rPr>
                <w:b/>
                <w:sz w:val="16"/>
                <w:szCs w:val="16"/>
              </w:rPr>
            </w:pPr>
            <w:r>
              <w:rPr>
                <w:b/>
                <w:sz w:val="16"/>
                <w:szCs w:val="16"/>
              </w:rPr>
              <w:t xml:space="preserve">3</w:t>
            </w:r>
          </w:p>
        </w:tc>
        <w:tc>
          <w:tcPr>
            <w:tcW w:w="313" w:type="dxa"/>
            <w:vAlign w:val="center"/>
          </w:tcPr>
          <w:p>
            <w:pPr>
              <w:ind w:left="-113" w:right="-170"/>
              <w:jc w:val="center"/>
              <w:rPr>
                <w:b/>
                <w:sz w:val="16"/>
                <w:szCs w:val="16"/>
              </w:rPr>
            </w:pPr>
            <w:r>
              <w:rPr>
                <w:b/>
                <w:sz w:val="16"/>
                <w:szCs w:val="16"/>
              </w:rPr>
              <w:t xml:space="preserve">4</w:t>
            </w:r>
          </w:p>
        </w:tc>
        <w:tc>
          <w:tcPr>
            <w:tcW w:w="455" w:type="dxa"/>
            <w:vAlign w:val="center"/>
          </w:tcPr>
          <w:p>
            <w:pPr>
              <w:ind w:left="-113" w:right="-170"/>
              <w:jc w:val="center"/>
              <w:rPr>
                <w:b/>
                <w:sz w:val="16"/>
                <w:szCs w:val="16"/>
              </w:rPr>
            </w:pPr>
            <w:r>
              <w:rPr>
                <w:b/>
                <w:sz w:val="16"/>
                <w:szCs w:val="16"/>
              </w:rPr>
              <w:t xml:space="preserve">5</w:t>
            </w:r>
          </w:p>
        </w:tc>
        <w:tc>
          <w:tcPr>
            <w:tcW w:w="284" w:type="dxa"/>
            <w:vAlign w:val="center"/>
          </w:tcPr>
          <w:p>
            <w:pPr>
              <w:ind w:left="-113" w:right="-170"/>
              <w:jc w:val="center"/>
              <w:rPr>
                <w:b/>
                <w:sz w:val="16"/>
                <w:szCs w:val="16"/>
              </w:rPr>
            </w:pPr>
            <w:r>
              <w:rPr>
                <w:b/>
                <w:sz w:val="16"/>
                <w:szCs w:val="16"/>
              </w:rPr>
              <w:t xml:space="preserve">6</w:t>
            </w:r>
          </w:p>
        </w:tc>
        <w:tc>
          <w:tcPr>
            <w:tcW w:w="425" w:type="dxa"/>
            <w:vAlign w:val="center"/>
          </w:tcPr>
          <w:p>
            <w:pPr>
              <w:ind w:left="-113" w:right="-170"/>
              <w:jc w:val="center"/>
              <w:rPr>
                <w:b/>
                <w:sz w:val="16"/>
                <w:szCs w:val="16"/>
              </w:rPr>
            </w:pPr>
            <w:r>
              <w:rPr>
                <w:b/>
                <w:sz w:val="16"/>
                <w:szCs w:val="16"/>
              </w:rPr>
              <w:t xml:space="preserve">7</w:t>
            </w:r>
          </w:p>
        </w:tc>
        <w:tc>
          <w:tcPr>
            <w:tcW w:w="312" w:type="dxa"/>
            <w:vAlign w:val="center"/>
          </w:tcPr>
          <w:p>
            <w:pPr>
              <w:ind w:left="-113" w:right="-170"/>
              <w:jc w:val="center"/>
              <w:rPr>
                <w:b/>
                <w:sz w:val="16"/>
                <w:szCs w:val="16"/>
              </w:rPr>
            </w:pPr>
            <w:r>
              <w:rPr>
                <w:b/>
                <w:sz w:val="16"/>
                <w:szCs w:val="16"/>
              </w:rPr>
              <w:t xml:space="preserve">8</w:t>
            </w:r>
          </w:p>
        </w:tc>
        <w:tc>
          <w:tcPr>
            <w:tcW w:w="425" w:type="dxa"/>
            <w:vAlign w:val="center"/>
          </w:tcPr>
          <w:p>
            <w:pPr>
              <w:ind w:left="-113" w:right="-170"/>
              <w:jc w:val="center"/>
              <w:rPr>
                <w:b/>
                <w:sz w:val="16"/>
                <w:szCs w:val="16"/>
              </w:rPr>
            </w:pPr>
            <w:r>
              <w:rPr>
                <w:b/>
                <w:sz w:val="16"/>
                <w:szCs w:val="16"/>
              </w:rPr>
              <w:t xml:space="preserve">9</w:t>
            </w:r>
          </w:p>
        </w:tc>
        <w:tc>
          <w:tcPr>
            <w:tcW w:w="454" w:type="dxa"/>
            <w:vAlign w:val="center"/>
          </w:tcPr>
          <w:p>
            <w:pPr>
              <w:ind w:left="-113" w:right="-170" w:firstLine="136"/>
              <w:jc w:val="center"/>
              <w:rPr>
                <w:b/>
                <w:sz w:val="16"/>
                <w:szCs w:val="16"/>
              </w:rPr>
            </w:pPr>
            <w:r>
              <w:rPr>
                <w:b/>
                <w:sz w:val="16"/>
                <w:szCs w:val="16"/>
              </w:rPr>
              <w:t xml:space="preserve">10</w:t>
            </w:r>
          </w:p>
        </w:tc>
        <w:tc>
          <w:tcPr>
            <w:tcW w:w="338" w:type="dxa"/>
            <w:vAlign w:val="center"/>
          </w:tcPr>
          <w:p>
            <w:pPr>
              <w:ind w:left="-113" w:right="-170"/>
              <w:jc w:val="center"/>
              <w:rPr>
                <w:b/>
                <w:sz w:val="16"/>
                <w:szCs w:val="16"/>
              </w:rPr>
            </w:pPr>
            <w:r>
              <w:rPr>
                <w:b/>
                <w:sz w:val="16"/>
                <w:szCs w:val="16"/>
              </w:rPr>
              <w:t xml:space="preserve">11</w:t>
            </w:r>
          </w:p>
        </w:tc>
        <w:tc>
          <w:tcPr>
            <w:tcW w:w="382" w:type="dxa"/>
            <w:vAlign w:val="center"/>
          </w:tcPr>
          <w:p>
            <w:pPr>
              <w:ind w:left="-113" w:right="-170"/>
              <w:jc w:val="center"/>
              <w:rPr>
                <w:b/>
                <w:sz w:val="16"/>
                <w:szCs w:val="16"/>
              </w:rPr>
            </w:pPr>
            <w:r>
              <w:rPr>
                <w:b/>
                <w:sz w:val="16"/>
                <w:szCs w:val="16"/>
              </w:rPr>
              <w:t xml:space="preserve">12</w:t>
            </w:r>
          </w:p>
        </w:tc>
        <w:tc>
          <w:tcPr>
            <w:tcW w:w="440" w:type="dxa"/>
            <w:vAlign w:val="center"/>
          </w:tcPr>
          <w:p>
            <w:pPr>
              <w:ind w:left="-113" w:right="-170"/>
              <w:jc w:val="center"/>
              <w:rPr>
                <w:b/>
                <w:sz w:val="16"/>
                <w:szCs w:val="16"/>
              </w:rPr>
            </w:pPr>
            <w:r>
              <w:rPr>
                <w:b/>
                <w:sz w:val="16"/>
                <w:szCs w:val="16"/>
              </w:rPr>
              <w:t xml:space="preserve">13</w:t>
            </w:r>
          </w:p>
        </w:tc>
        <w:tc>
          <w:tcPr>
            <w:tcW w:w="425" w:type="dxa"/>
            <w:vAlign w:val="center"/>
          </w:tcPr>
          <w:p>
            <w:pPr>
              <w:ind w:left="-113" w:right="-170"/>
              <w:jc w:val="center"/>
              <w:rPr>
                <w:b/>
                <w:sz w:val="16"/>
                <w:szCs w:val="16"/>
              </w:rPr>
            </w:pPr>
            <w:r>
              <w:rPr>
                <w:b/>
                <w:sz w:val="16"/>
                <w:szCs w:val="16"/>
              </w:rPr>
              <w:t xml:space="preserve">14</w:t>
            </w:r>
          </w:p>
        </w:tc>
        <w:tc>
          <w:tcPr>
            <w:tcW w:w="455" w:type="dxa"/>
            <w:vAlign w:val="center"/>
          </w:tcPr>
          <w:p>
            <w:pPr>
              <w:ind w:left="-113" w:right="-170"/>
              <w:jc w:val="center"/>
              <w:rPr>
                <w:b/>
                <w:sz w:val="16"/>
                <w:szCs w:val="16"/>
              </w:rPr>
            </w:pPr>
            <w:r>
              <w:rPr>
                <w:b/>
                <w:sz w:val="16"/>
                <w:szCs w:val="16"/>
              </w:rPr>
              <w:t xml:space="preserve">15</w:t>
            </w:r>
          </w:p>
        </w:tc>
        <w:tc>
          <w:tcPr>
            <w:tcW w:w="616" w:type="dxa"/>
            <w:vAlign w:val="center"/>
          </w:tcPr>
          <w:p>
            <w:pPr>
              <w:ind w:left="-113" w:right="-170"/>
              <w:jc w:val="center"/>
              <w:rPr>
                <w:b/>
                <w:sz w:val="16"/>
                <w:szCs w:val="16"/>
              </w:rPr>
            </w:pPr>
            <w:r>
              <w:rPr>
                <w:b/>
                <w:sz w:val="16"/>
                <w:szCs w:val="16"/>
              </w:rPr>
              <w:t xml:space="preserve">16</w:t>
            </w:r>
          </w:p>
        </w:tc>
        <w:tc>
          <w:tcPr>
            <w:tcW w:w="602" w:type="dxa"/>
            <w:vAlign w:val="center"/>
          </w:tcPr>
          <w:p>
            <w:pPr>
              <w:ind w:left="-113" w:right="-170"/>
              <w:jc w:val="center"/>
              <w:rPr>
                <w:b/>
                <w:sz w:val="16"/>
                <w:szCs w:val="16"/>
              </w:rPr>
            </w:pPr>
            <w:r>
              <w:rPr>
                <w:b/>
                <w:sz w:val="16"/>
                <w:szCs w:val="16"/>
              </w:rPr>
              <w:t xml:space="preserve">17</w:t>
            </w:r>
          </w:p>
        </w:tc>
        <w:tc>
          <w:tcPr>
            <w:tcW w:w="710" w:type="dxa"/>
            <w:vAlign w:val="center"/>
          </w:tcPr>
          <w:p>
            <w:pPr>
              <w:ind w:left="-113" w:right="-170"/>
              <w:jc w:val="center"/>
              <w:rPr>
                <w:b/>
                <w:sz w:val="16"/>
                <w:szCs w:val="16"/>
              </w:rPr>
            </w:pPr>
            <w:r>
              <w:rPr>
                <w:b/>
                <w:sz w:val="16"/>
                <w:szCs w:val="16"/>
              </w:rPr>
              <w:t xml:space="preserve">18</w:t>
            </w:r>
          </w:p>
        </w:tc>
        <w:tc>
          <w:tcPr>
            <w:tcW w:w="565" w:type="dxa"/>
            <w:vAlign w:val="center"/>
          </w:tcPr>
          <w:p>
            <w:pPr>
              <w:ind w:left="-113" w:right="-170"/>
              <w:jc w:val="center"/>
              <w:rPr>
                <w:b/>
                <w:sz w:val="16"/>
                <w:szCs w:val="16"/>
              </w:rPr>
            </w:pPr>
            <w:r>
              <w:rPr>
                <w:b/>
                <w:sz w:val="16"/>
                <w:szCs w:val="16"/>
              </w:rPr>
              <w:t xml:space="preserve">19</w:t>
            </w:r>
          </w:p>
        </w:tc>
        <w:tc>
          <w:tcPr>
            <w:tcW w:w="396" w:type="dxa"/>
            <w:vAlign w:val="center"/>
          </w:tcPr>
          <w:p>
            <w:pPr>
              <w:ind w:left="-113" w:right="-170"/>
              <w:jc w:val="center"/>
              <w:rPr>
                <w:b/>
                <w:sz w:val="16"/>
                <w:szCs w:val="16"/>
              </w:rPr>
            </w:pPr>
            <w:r>
              <w:rPr>
                <w:b/>
                <w:sz w:val="16"/>
                <w:szCs w:val="16"/>
              </w:rPr>
              <w:t xml:space="preserve">20</w:t>
            </w:r>
          </w:p>
        </w:tc>
        <w:tc>
          <w:tcPr>
            <w:tcW w:w="283" w:type="dxa"/>
            <w:vAlign w:val="center"/>
          </w:tcPr>
          <w:p>
            <w:pPr>
              <w:ind w:left="-113" w:right="-170"/>
              <w:jc w:val="center"/>
              <w:rPr>
                <w:b/>
                <w:sz w:val="16"/>
                <w:szCs w:val="16"/>
              </w:rPr>
            </w:pPr>
            <w:r>
              <w:rPr>
                <w:b/>
                <w:sz w:val="16"/>
                <w:szCs w:val="16"/>
              </w:rPr>
              <w:t xml:space="preserve">21</w:t>
            </w:r>
          </w:p>
        </w:tc>
        <w:tc>
          <w:tcPr>
            <w:tcW w:w="383" w:type="dxa"/>
            <w:vAlign w:val="center"/>
          </w:tcPr>
          <w:p>
            <w:pPr>
              <w:ind w:left="-113" w:right="-175" w:hanging="63"/>
              <w:jc w:val="center"/>
              <w:rPr>
                <w:b/>
                <w:sz w:val="16"/>
                <w:szCs w:val="16"/>
              </w:rPr>
            </w:pPr>
            <w:r>
              <w:rPr>
                <w:b/>
                <w:sz w:val="16"/>
                <w:szCs w:val="16"/>
              </w:rPr>
              <w:t xml:space="preserve">22</w:t>
            </w:r>
          </w:p>
        </w:tc>
        <w:tc>
          <w:tcPr>
            <w:tcW w:w="425" w:type="dxa"/>
            <w:vAlign w:val="center"/>
          </w:tcPr>
          <w:p>
            <w:pPr>
              <w:ind w:left="-113" w:right="-170"/>
              <w:jc w:val="center"/>
              <w:rPr>
                <w:b/>
                <w:sz w:val="16"/>
                <w:szCs w:val="16"/>
              </w:rPr>
            </w:pPr>
            <w:r>
              <w:rPr>
                <w:b/>
                <w:sz w:val="16"/>
                <w:szCs w:val="16"/>
              </w:rPr>
              <w:t xml:space="preserve">23</w:t>
            </w:r>
          </w:p>
        </w:tc>
        <w:tc>
          <w:tcPr>
            <w:tcW w:w="420" w:type="dxa"/>
            <w:vAlign w:val="center"/>
          </w:tcPr>
          <w:p>
            <w:pPr>
              <w:ind w:left="-113" w:right="-170"/>
              <w:jc w:val="center"/>
              <w:rPr>
                <w:b/>
                <w:sz w:val="16"/>
                <w:szCs w:val="16"/>
              </w:rPr>
            </w:pPr>
            <w:r>
              <w:rPr>
                <w:b/>
                <w:sz w:val="16"/>
                <w:szCs w:val="16"/>
              </w:rPr>
              <w:t xml:space="preserve">24</w:t>
            </w:r>
          </w:p>
        </w:tc>
        <w:tc>
          <w:tcPr>
            <w:tcW w:w="420" w:type="dxa"/>
            <w:vAlign w:val="center"/>
          </w:tcPr>
          <w:p>
            <w:pPr>
              <w:ind w:left="-113" w:right="-170"/>
              <w:jc w:val="center"/>
              <w:rPr>
                <w:b/>
                <w:sz w:val="16"/>
                <w:szCs w:val="16"/>
              </w:rPr>
            </w:pPr>
            <w:r>
              <w:rPr>
                <w:b/>
                <w:sz w:val="16"/>
                <w:szCs w:val="16"/>
              </w:rPr>
              <w:t xml:space="preserve">25</w:t>
            </w:r>
          </w:p>
        </w:tc>
        <w:tc>
          <w:tcPr>
            <w:tcW w:w="420" w:type="dxa"/>
            <w:vAlign w:val="center"/>
          </w:tcPr>
          <w:p>
            <w:pPr>
              <w:ind w:left="-113" w:right="-170"/>
              <w:jc w:val="center"/>
              <w:rPr>
                <w:b/>
                <w:sz w:val="16"/>
                <w:szCs w:val="16"/>
              </w:rPr>
            </w:pPr>
            <w:r>
              <w:rPr>
                <w:b/>
                <w:sz w:val="16"/>
                <w:szCs w:val="16"/>
              </w:rPr>
              <w:t xml:space="preserve">26</w:t>
            </w:r>
          </w:p>
        </w:tc>
        <w:tc>
          <w:tcPr>
            <w:tcW w:w="420" w:type="dxa"/>
            <w:vAlign w:val="center"/>
          </w:tcPr>
          <w:p>
            <w:pPr>
              <w:ind w:left="-113" w:right="-170"/>
              <w:jc w:val="center"/>
              <w:rPr>
                <w:b/>
                <w:sz w:val="16"/>
                <w:szCs w:val="16"/>
              </w:rPr>
            </w:pPr>
            <w:r>
              <w:rPr>
                <w:b/>
                <w:sz w:val="16"/>
                <w:szCs w:val="16"/>
              </w:rPr>
              <w:t xml:space="preserve">27</w:t>
            </w:r>
          </w:p>
        </w:tc>
        <w:tc>
          <w:tcPr>
            <w:tcW w:w="420" w:type="dxa"/>
            <w:vAlign w:val="center"/>
          </w:tcPr>
          <w:p>
            <w:pPr>
              <w:ind w:left="-113" w:right="-170"/>
              <w:jc w:val="center"/>
              <w:rPr>
                <w:b/>
                <w:sz w:val="16"/>
                <w:szCs w:val="16"/>
              </w:rPr>
            </w:pPr>
            <w:r>
              <w:rPr>
                <w:b/>
                <w:sz w:val="16"/>
                <w:szCs w:val="16"/>
              </w:rPr>
              <w:t xml:space="preserve">28</w:t>
            </w:r>
          </w:p>
        </w:tc>
        <w:tc>
          <w:tcPr>
            <w:tcW w:w="420" w:type="dxa"/>
            <w:vAlign w:val="center"/>
          </w:tcPr>
          <w:p>
            <w:pPr>
              <w:ind w:left="-113" w:right="-170"/>
              <w:jc w:val="center"/>
              <w:rPr>
                <w:b/>
                <w:sz w:val="16"/>
                <w:szCs w:val="16"/>
              </w:rPr>
            </w:pPr>
            <w:r>
              <w:rPr>
                <w:b/>
                <w:sz w:val="16"/>
                <w:szCs w:val="16"/>
              </w:rPr>
              <w:t xml:space="preserve">29</w:t>
            </w:r>
          </w:p>
        </w:tc>
        <w:tc>
          <w:tcPr>
            <w:tcW w:w="420" w:type="dxa"/>
            <w:vAlign w:val="center"/>
          </w:tcPr>
          <w:p>
            <w:pPr>
              <w:ind w:left="-113" w:right="-170"/>
              <w:jc w:val="center"/>
              <w:rPr>
                <w:b/>
                <w:sz w:val="16"/>
                <w:szCs w:val="16"/>
              </w:rPr>
            </w:pPr>
            <w:r>
              <w:rPr>
                <w:b/>
                <w:sz w:val="16"/>
                <w:szCs w:val="16"/>
              </w:rPr>
              <w:t xml:space="preserve">30</w:t>
            </w:r>
          </w:p>
        </w:tc>
        <w:tc>
          <w:tcPr>
            <w:tcW w:w="462" w:type="dxa"/>
            <w:vAlign w:val="center"/>
          </w:tcPr>
          <w:p>
            <w:pPr>
              <w:ind w:left="-113" w:right="-170"/>
              <w:jc w:val="center"/>
              <w:rPr>
                <w:b/>
                <w:sz w:val="16"/>
                <w:szCs w:val="16"/>
              </w:rPr>
            </w:pPr>
            <w:r>
              <w:rPr>
                <w:b/>
                <w:sz w:val="16"/>
                <w:szCs w:val="16"/>
              </w:rPr>
              <w:t xml:space="preserve">31</w:t>
            </w:r>
          </w:p>
        </w:tc>
        <w:tc>
          <w:tcPr>
            <w:tcW w:w="425" w:type="dxa"/>
            <w:vAlign w:val="center"/>
          </w:tcPr>
          <w:p>
            <w:pPr>
              <w:ind w:left="-113" w:right="-170"/>
              <w:jc w:val="center"/>
              <w:rPr>
                <w:b/>
                <w:sz w:val="16"/>
                <w:szCs w:val="16"/>
              </w:rPr>
            </w:pPr>
            <w:r>
              <w:rPr>
                <w:b/>
                <w:sz w:val="16"/>
                <w:szCs w:val="16"/>
              </w:rPr>
              <w:t xml:space="preserve">32</w:t>
            </w:r>
          </w:p>
        </w:tc>
        <w:tc>
          <w:tcPr>
            <w:tcW w:w="426" w:type="dxa"/>
            <w:vAlign w:val="center"/>
          </w:tcPr>
          <w:p>
            <w:pPr>
              <w:ind w:left="-113" w:right="-170"/>
              <w:jc w:val="center"/>
              <w:rPr>
                <w:b/>
                <w:sz w:val="16"/>
                <w:szCs w:val="16"/>
              </w:rPr>
            </w:pPr>
            <w:r>
              <w:rPr>
                <w:b/>
                <w:sz w:val="16"/>
                <w:szCs w:val="16"/>
              </w:rPr>
              <w:t xml:space="preserve">33</w:t>
            </w:r>
          </w:p>
        </w:tc>
        <w:tc>
          <w:tcPr>
            <w:tcW w:w="425" w:type="dxa"/>
            <w:vAlign w:val="center"/>
          </w:tcPr>
          <w:p>
            <w:pPr>
              <w:ind w:left="-113" w:right="-170"/>
              <w:jc w:val="center"/>
              <w:rPr>
                <w:b/>
                <w:sz w:val="16"/>
                <w:szCs w:val="16"/>
              </w:rPr>
            </w:pPr>
            <w:r>
              <w:rPr>
                <w:b/>
                <w:sz w:val="16"/>
                <w:szCs w:val="16"/>
              </w:rPr>
              <w:t xml:space="preserve">34</w:t>
            </w:r>
          </w:p>
        </w:tc>
        <w:tc>
          <w:tcPr>
            <w:tcW w:w="425" w:type="dxa"/>
          </w:tcPr>
          <w:p>
            <w:pPr>
              <w:ind w:left="-113" w:right="-170"/>
              <w:jc w:val="center"/>
              <w:rPr>
                <w:b/>
                <w:sz w:val="16"/>
                <w:szCs w:val="16"/>
              </w:rPr>
            </w:pPr>
            <w:r>
              <w:rPr>
                <w:b/>
                <w:sz w:val="16"/>
                <w:szCs w:val="16"/>
              </w:rPr>
              <w:t xml:space="preserve">35</w:t>
            </w:r>
          </w:p>
        </w:tc>
        <w:tc>
          <w:tcPr>
            <w:tcW w:w="438" w:type="dxa"/>
          </w:tcPr>
          <w:p>
            <w:pPr>
              <w:ind w:left="-113" w:right="-170"/>
              <w:jc w:val="center"/>
              <w:rPr>
                <w:b/>
                <w:sz w:val="16"/>
                <w:szCs w:val="16"/>
              </w:rPr>
            </w:pPr>
            <w:r>
              <w:rPr>
                <w:b/>
                <w:sz w:val="16"/>
                <w:szCs w:val="16"/>
              </w:rPr>
              <w:t xml:space="preserve">36</w:t>
            </w:r>
          </w:p>
        </w:tc>
        <w:tc>
          <w:tcPr>
            <w:tcW w:w="341" w:type="dxa"/>
          </w:tcPr>
          <w:p>
            <w:pPr>
              <w:ind w:left="-113" w:right="-170"/>
              <w:jc w:val="center"/>
              <w:rPr>
                <w:b/>
                <w:sz w:val="16"/>
                <w:szCs w:val="16"/>
              </w:rPr>
            </w:pPr>
            <w:r>
              <w:rPr>
                <w:b/>
                <w:sz w:val="16"/>
                <w:szCs w:val="16"/>
              </w:rPr>
              <w:t xml:space="preserve">37</w:t>
            </w:r>
          </w:p>
        </w:tc>
        <w:tc>
          <w:tcPr>
            <w:tcW w:w="341" w:type="dxa"/>
          </w:tcPr>
          <w:p>
            <w:pPr>
              <w:ind w:left="-113" w:right="-170"/>
              <w:jc w:val="center"/>
              <w:rPr>
                <w:b/>
                <w:sz w:val="16"/>
                <w:szCs w:val="16"/>
              </w:rPr>
            </w:pPr>
            <w:r>
              <w:rPr>
                <w:b/>
                <w:sz w:val="16"/>
                <w:szCs w:val="16"/>
              </w:rPr>
              <w:t xml:space="preserve">38</w:t>
            </w:r>
          </w:p>
        </w:tc>
        <w:tc>
          <w:tcPr>
            <w:tcW w:w="341" w:type="dxa"/>
          </w:tcPr>
          <w:p>
            <w:pPr>
              <w:ind w:left="-113" w:right="-170"/>
              <w:jc w:val="center"/>
              <w:rPr>
                <w:b/>
                <w:sz w:val="16"/>
                <w:szCs w:val="16"/>
              </w:rPr>
            </w:pPr>
            <w:r>
              <w:rPr>
                <w:b/>
                <w:sz w:val="16"/>
                <w:szCs w:val="16"/>
              </w:rPr>
              <w:t xml:space="preserve">39</w:t>
            </w:r>
          </w:p>
        </w:tc>
      </w:tr>
      <w:tr>
        <w:trPr>
          <w:trHeight w:val="49"/>
        </w:trPr>
        <w:tc>
          <w:tcPr>
            <w:tcW w:w="283" w:type="dxa"/>
          </w:tcPr>
          <w:p>
            <w:pPr>
              <w:jc w:val="center"/>
              <w:rPr>
                <w:sz w:val="16"/>
                <w:szCs w:val="16"/>
              </w:rPr>
            </w:pPr>
            <w:r>
              <w:rPr>
                <w:sz w:val="16"/>
                <w:szCs w:val="16"/>
              </w:rPr>
              <w:t xml:space="preserve">1</w:t>
            </w:r>
          </w:p>
        </w:tc>
        <w:tc>
          <w:tcPr>
            <w:tcW w:w="284" w:type="dxa"/>
          </w:tcPr>
          <w:p>
            <w:pPr>
              <w:jc w:val="center"/>
              <w:rPr>
                <w:sz w:val="16"/>
                <w:szCs w:val="16"/>
              </w:rPr>
            </w:pPr>
          </w:p>
        </w:tc>
        <w:tc>
          <w:tcPr>
            <w:tcW w:w="283" w:type="dxa"/>
            <w:vAlign w:val="bottom"/>
          </w:tcPr>
          <w:p>
            <w:pPr>
              <w:jc w:val="center"/>
              <w:rPr>
                <w:sz w:val="16"/>
                <w:szCs w:val="16"/>
                <w:lang w:val="en-US"/>
              </w:rPr>
            </w:pPr>
            <w:r>
              <w:rPr>
                <w:sz w:val="16"/>
                <w:szCs w:val="16"/>
              </w:rPr>
              <w:t xml:space="preserve"> </w:t>
            </w:r>
          </w:p>
        </w:tc>
        <w:tc>
          <w:tcPr>
            <w:tcW w:w="313" w:type="dxa"/>
            <w:vAlign w:val="bottom"/>
          </w:tcPr>
          <w:p>
            <w:pPr>
              <w:jc w:val="center"/>
              <w:rPr>
                <w:sz w:val="16"/>
                <w:szCs w:val="16"/>
              </w:rPr>
            </w:pPr>
            <w:r>
              <w:rPr>
                <w:sz w:val="16"/>
                <w:szCs w:val="16"/>
              </w:rPr>
              <w:t xml:space="preserve"> </w:t>
            </w:r>
          </w:p>
        </w:tc>
        <w:tc>
          <w:tcPr>
            <w:tcW w:w="455" w:type="dxa"/>
          </w:tcPr>
          <w:p>
            <w:pPr>
              <w:jc w:val="center"/>
              <w:rPr>
                <w:sz w:val="16"/>
                <w:szCs w:val="16"/>
              </w:rPr>
            </w:pPr>
          </w:p>
        </w:tc>
        <w:tc>
          <w:tcPr>
            <w:tcW w:w="284" w:type="dxa"/>
          </w:tcPr>
          <w:p>
            <w:pPr>
              <w:ind w:left="-85" w:right="-85"/>
              <w:jc w:val="center"/>
              <w:rPr>
                <w:sz w:val="16"/>
                <w:szCs w:val="16"/>
              </w:rPr>
            </w:pPr>
            <w:r>
              <w:rPr>
                <w:sz w:val="16"/>
                <w:szCs w:val="16"/>
              </w:rPr>
              <w:t xml:space="preserve"> </w:t>
            </w:r>
          </w:p>
        </w:tc>
        <w:tc>
          <w:tcPr>
            <w:tcW w:w="425" w:type="dxa"/>
          </w:tcPr>
          <w:p>
            <w:pPr>
              <w:jc w:val="center"/>
              <w:rPr>
                <w:sz w:val="16"/>
                <w:szCs w:val="16"/>
              </w:rPr>
            </w:pPr>
          </w:p>
        </w:tc>
        <w:tc>
          <w:tcPr>
            <w:tcW w:w="312" w:type="dxa"/>
          </w:tcPr>
          <w:p>
            <w:pPr>
              <w:jc w:val="center"/>
              <w:rPr>
                <w:sz w:val="16"/>
                <w:szCs w:val="16"/>
              </w:rPr>
            </w:pPr>
          </w:p>
        </w:tc>
        <w:tc>
          <w:tcPr>
            <w:tcW w:w="425" w:type="dxa"/>
          </w:tcPr>
          <w:p>
            <w:pPr>
              <w:jc w:val="center"/>
              <w:rPr>
                <w:sz w:val="16"/>
                <w:szCs w:val="16"/>
              </w:rPr>
            </w:pPr>
          </w:p>
        </w:tc>
        <w:tc>
          <w:tcPr>
            <w:tcW w:w="454" w:type="dxa"/>
          </w:tcPr>
          <w:p>
            <w:pPr>
              <w:jc w:val="center"/>
              <w:rPr>
                <w:sz w:val="16"/>
                <w:szCs w:val="16"/>
              </w:rPr>
            </w:pPr>
            <w:r>
              <w:rPr>
                <w:sz w:val="16"/>
                <w:szCs w:val="16"/>
              </w:rPr>
              <w:t xml:space="preserve"> </w:t>
            </w:r>
          </w:p>
        </w:tc>
        <w:tc>
          <w:tcPr>
            <w:tcW w:w="338" w:type="dxa"/>
            <w:vAlign w:val="bottom"/>
          </w:tcPr>
          <w:p>
            <w:pPr>
              <w:jc w:val="center"/>
              <w:rPr>
                <w:sz w:val="16"/>
                <w:szCs w:val="16"/>
              </w:rPr>
            </w:pPr>
            <w:r>
              <w:rPr>
                <w:sz w:val="16"/>
                <w:szCs w:val="16"/>
              </w:rPr>
              <w:t xml:space="preserve"> </w:t>
            </w:r>
          </w:p>
        </w:tc>
        <w:tc>
          <w:tcPr>
            <w:tcW w:w="382" w:type="dxa"/>
            <w:vAlign w:val="bottom"/>
          </w:tcPr>
          <w:p>
            <w:pPr>
              <w:jc w:val="center"/>
              <w:rPr>
                <w:sz w:val="16"/>
                <w:szCs w:val="16"/>
              </w:rPr>
            </w:pPr>
            <w:r>
              <w:rPr>
                <w:sz w:val="16"/>
                <w:szCs w:val="16"/>
              </w:rPr>
              <w:t xml:space="preserve"> </w:t>
            </w:r>
          </w:p>
        </w:tc>
        <w:tc>
          <w:tcPr>
            <w:tcW w:w="440"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55" w:type="dxa"/>
          </w:tcPr>
          <w:p>
            <w:pPr>
              <w:jc w:val="center"/>
              <w:rPr>
                <w:sz w:val="16"/>
                <w:szCs w:val="16"/>
              </w:rPr>
            </w:pPr>
          </w:p>
        </w:tc>
        <w:tc>
          <w:tcPr>
            <w:tcW w:w="616" w:type="dxa"/>
          </w:tcPr>
          <w:p>
            <w:pPr>
              <w:jc w:val="center"/>
              <w:rPr>
                <w:sz w:val="16"/>
                <w:szCs w:val="16"/>
              </w:rPr>
            </w:pPr>
          </w:p>
        </w:tc>
        <w:tc>
          <w:tcPr>
            <w:tcW w:w="602" w:type="dxa"/>
          </w:tcPr>
          <w:p>
            <w:pPr>
              <w:jc w:val="center"/>
              <w:rPr>
                <w:sz w:val="16"/>
                <w:szCs w:val="16"/>
              </w:rPr>
            </w:pPr>
          </w:p>
        </w:tc>
        <w:tc>
          <w:tcPr>
            <w:tcW w:w="710" w:type="dxa"/>
          </w:tcPr>
          <w:p>
            <w:pPr>
              <w:jc w:val="center"/>
              <w:rPr>
                <w:sz w:val="16"/>
                <w:szCs w:val="16"/>
              </w:rPr>
            </w:pPr>
          </w:p>
        </w:tc>
        <w:tc>
          <w:tcPr>
            <w:tcW w:w="565" w:type="dxa"/>
          </w:tcPr>
          <w:p>
            <w:pPr>
              <w:jc w:val="center"/>
              <w:rPr>
                <w:sz w:val="16"/>
                <w:szCs w:val="16"/>
              </w:rPr>
            </w:pPr>
          </w:p>
        </w:tc>
        <w:tc>
          <w:tcPr>
            <w:tcW w:w="396" w:type="dxa"/>
          </w:tcPr>
          <w:p>
            <w:pPr>
              <w:jc w:val="center"/>
              <w:rPr>
                <w:sz w:val="16"/>
                <w:szCs w:val="16"/>
              </w:rPr>
            </w:pPr>
          </w:p>
        </w:tc>
        <w:tc>
          <w:tcPr>
            <w:tcW w:w="283" w:type="dxa"/>
          </w:tcPr>
          <w:p>
            <w:pPr>
              <w:jc w:val="center"/>
              <w:rPr>
                <w:sz w:val="16"/>
                <w:szCs w:val="16"/>
              </w:rPr>
            </w:pPr>
          </w:p>
        </w:tc>
        <w:tc>
          <w:tcPr>
            <w:tcW w:w="383"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62"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26"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38" w:type="dxa"/>
          </w:tcPr>
          <w:p>
            <w:pPr>
              <w:jc w:val="center"/>
              <w:rPr>
                <w:sz w:val="16"/>
                <w:szCs w:val="16"/>
              </w:rPr>
            </w:pPr>
          </w:p>
        </w:tc>
        <w:tc>
          <w:tcPr>
            <w:tcW w:w="341" w:type="dxa"/>
          </w:tcPr>
          <w:p>
            <w:pPr>
              <w:jc w:val="center"/>
              <w:rPr>
                <w:sz w:val="16"/>
                <w:szCs w:val="16"/>
              </w:rPr>
            </w:pPr>
          </w:p>
        </w:tc>
        <w:tc>
          <w:tcPr>
            <w:tcW w:w="341" w:type="dxa"/>
          </w:tcPr>
          <w:p>
            <w:pPr>
              <w:jc w:val="center"/>
              <w:rPr>
                <w:sz w:val="16"/>
                <w:szCs w:val="16"/>
              </w:rPr>
            </w:pPr>
          </w:p>
        </w:tc>
        <w:tc>
          <w:tcPr>
            <w:tcW w:w="341" w:type="dxa"/>
          </w:tcPr>
          <w:p>
            <w:pPr>
              <w:jc w:val="center"/>
              <w:rPr>
                <w:sz w:val="16"/>
                <w:szCs w:val="16"/>
              </w:rPr>
            </w:pPr>
          </w:p>
        </w:tc>
      </w:tr>
      <w:tr>
        <w:trPr>
          <w:trHeight w:val="49"/>
        </w:trPr>
        <w:tc>
          <w:tcPr>
            <w:tcW w:w="283" w:type="dxa"/>
          </w:tcPr>
          <w:p>
            <w:pPr>
              <w:jc w:val="center"/>
              <w:rPr>
                <w:sz w:val="16"/>
                <w:szCs w:val="16"/>
              </w:rPr>
            </w:pPr>
            <w:r>
              <w:rPr>
                <w:sz w:val="16"/>
                <w:szCs w:val="16"/>
              </w:rPr>
              <w:t xml:space="preserve">2</w:t>
            </w:r>
          </w:p>
        </w:tc>
        <w:tc>
          <w:tcPr>
            <w:tcW w:w="284" w:type="dxa"/>
          </w:tcPr>
          <w:p>
            <w:pPr>
              <w:jc w:val="center"/>
              <w:rPr>
                <w:sz w:val="16"/>
                <w:szCs w:val="16"/>
              </w:rPr>
            </w:pPr>
          </w:p>
        </w:tc>
        <w:tc>
          <w:tcPr>
            <w:tcW w:w="283" w:type="dxa"/>
            <w:vAlign w:val="bottom"/>
          </w:tcPr>
          <w:p>
            <w:pPr>
              <w:jc w:val="center"/>
              <w:rPr>
                <w:sz w:val="16"/>
                <w:szCs w:val="16"/>
              </w:rPr>
            </w:pPr>
            <w:r>
              <w:rPr>
                <w:sz w:val="16"/>
                <w:szCs w:val="16"/>
              </w:rPr>
              <w:t xml:space="preserve"> </w:t>
            </w:r>
          </w:p>
        </w:tc>
        <w:tc>
          <w:tcPr>
            <w:tcW w:w="313" w:type="dxa"/>
            <w:vAlign w:val="bottom"/>
          </w:tcPr>
          <w:p>
            <w:pPr>
              <w:jc w:val="center"/>
              <w:rPr>
                <w:sz w:val="16"/>
                <w:szCs w:val="16"/>
              </w:rPr>
            </w:pPr>
            <w:r>
              <w:rPr>
                <w:sz w:val="16"/>
                <w:szCs w:val="16"/>
              </w:rPr>
              <w:t xml:space="preserve"> </w:t>
            </w:r>
          </w:p>
        </w:tc>
        <w:tc>
          <w:tcPr>
            <w:tcW w:w="455" w:type="dxa"/>
          </w:tcPr>
          <w:p>
            <w:pPr>
              <w:jc w:val="center"/>
              <w:rPr>
                <w:sz w:val="16"/>
                <w:szCs w:val="16"/>
              </w:rPr>
            </w:pPr>
          </w:p>
        </w:tc>
        <w:tc>
          <w:tcPr>
            <w:tcW w:w="284" w:type="dxa"/>
          </w:tcPr>
          <w:p>
            <w:pPr>
              <w:ind w:left="-85" w:right="-85"/>
              <w:jc w:val="center"/>
              <w:rPr>
                <w:sz w:val="16"/>
                <w:szCs w:val="16"/>
              </w:rPr>
            </w:pPr>
            <w:r>
              <w:rPr>
                <w:sz w:val="16"/>
                <w:szCs w:val="16"/>
              </w:rPr>
              <w:t xml:space="preserve"> </w:t>
            </w:r>
          </w:p>
        </w:tc>
        <w:tc>
          <w:tcPr>
            <w:tcW w:w="425" w:type="dxa"/>
          </w:tcPr>
          <w:p>
            <w:pPr>
              <w:jc w:val="center"/>
              <w:rPr>
                <w:sz w:val="16"/>
                <w:szCs w:val="16"/>
              </w:rPr>
            </w:pPr>
          </w:p>
        </w:tc>
        <w:tc>
          <w:tcPr>
            <w:tcW w:w="312" w:type="dxa"/>
          </w:tcPr>
          <w:p>
            <w:pPr>
              <w:jc w:val="center"/>
              <w:rPr>
                <w:sz w:val="16"/>
                <w:szCs w:val="16"/>
              </w:rPr>
            </w:pPr>
          </w:p>
        </w:tc>
        <w:tc>
          <w:tcPr>
            <w:tcW w:w="425" w:type="dxa"/>
          </w:tcPr>
          <w:p>
            <w:pPr>
              <w:jc w:val="center"/>
              <w:rPr>
                <w:sz w:val="16"/>
                <w:szCs w:val="16"/>
              </w:rPr>
            </w:pPr>
          </w:p>
        </w:tc>
        <w:tc>
          <w:tcPr>
            <w:tcW w:w="454" w:type="dxa"/>
          </w:tcPr>
          <w:p>
            <w:pPr>
              <w:jc w:val="center"/>
              <w:rPr>
                <w:sz w:val="16"/>
                <w:szCs w:val="16"/>
              </w:rPr>
            </w:pPr>
            <w:r>
              <w:rPr>
                <w:sz w:val="16"/>
                <w:szCs w:val="16"/>
              </w:rPr>
              <w:t xml:space="preserve"> </w:t>
            </w:r>
          </w:p>
        </w:tc>
        <w:tc>
          <w:tcPr>
            <w:tcW w:w="338" w:type="dxa"/>
            <w:vAlign w:val="bottom"/>
          </w:tcPr>
          <w:p>
            <w:pPr>
              <w:jc w:val="center"/>
              <w:rPr>
                <w:sz w:val="16"/>
                <w:szCs w:val="16"/>
              </w:rPr>
            </w:pPr>
            <w:r>
              <w:rPr>
                <w:sz w:val="16"/>
                <w:szCs w:val="16"/>
              </w:rPr>
              <w:t xml:space="preserve"> </w:t>
            </w:r>
          </w:p>
        </w:tc>
        <w:tc>
          <w:tcPr>
            <w:tcW w:w="382" w:type="dxa"/>
            <w:vAlign w:val="bottom"/>
          </w:tcPr>
          <w:p>
            <w:pPr>
              <w:jc w:val="center"/>
              <w:rPr>
                <w:sz w:val="16"/>
                <w:szCs w:val="16"/>
              </w:rPr>
            </w:pPr>
            <w:r>
              <w:rPr>
                <w:sz w:val="16"/>
                <w:szCs w:val="16"/>
              </w:rPr>
              <w:t xml:space="preserve"> </w:t>
            </w:r>
          </w:p>
        </w:tc>
        <w:tc>
          <w:tcPr>
            <w:tcW w:w="440"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55" w:type="dxa"/>
          </w:tcPr>
          <w:p>
            <w:pPr>
              <w:jc w:val="center"/>
              <w:rPr>
                <w:sz w:val="16"/>
                <w:szCs w:val="16"/>
              </w:rPr>
            </w:pPr>
          </w:p>
        </w:tc>
        <w:tc>
          <w:tcPr>
            <w:tcW w:w="616" w:type="dxa"/>
          </w:tcPr>
          <w:p>
            <w:pPr>
              <w:jc w:val="center"/>
              <w:rPr>
                <w:sz w:val="16"/>
                <w:szCs w:val="16"/>
              </w:rPr>
            </w:pPr>
          </w:p>
        </w:tc>
        <w:tc>
          <w:tcPr>
            <w:tcW w:w="602" w:type="dxa"/>
          </w:tcPr>
          <w:p>
            <w:pPr>
              <w:jc w:val="center"/>
              <w:rPr>
                <w:sz w:val="16"/>
                <w:szCs w:val="16"/>
              </w:rPr>
            </w:pPr>
          </w:p>
        </w:tc>
        <w:tc>
          <w:tcPr>
            <w:tcW w:w="710" w:type="dxa"/>
          </w:tcPr>
          <w:p>
            <w:pPr>
              <w:jc w:val="center"/>
              <w:rPr>
                <w:sz w:val="16"/>
                <w:szCs w:val="16"/>
              </w:rPr>
            </w:pPr>
          </w:p>
        </w:tc>
        <w:tc>
          <w:tcPr>
            <w:tcW w:w="565" w:type="dxa"/>
          </w:tcPr>
          <w:p>
            <w:pPr>
              <w:jc w:val="center"/>
              <w:rPr>
                <w:sz w:val="16"/>
                <w:szCs w:val="16"/>
              </w:rPr>
            </w:pPr>
          </w:p>
        </w:tc>
        <w:tc>
          <w:tcPr>
            <w:tcW w:w="396" w:type="dxa"/>
          </w:tcPr>
          <w:p>
            <w:pPr>
              <w:jc w:val="center"/>
              <w:rPr>
                <w:sz w:val="16"/>
                <w:szCs w:val="16"/>
              </w:rPr>
            </w:pPr>
          </w:p>
        </w:tc>
        <w:tc>
          <w:tcPr>
            <w:tcW w:w="283" w:type="dxa"/>
          </w:tcPr>
          <w:p>
            <w:pPr>
              <w:jc w:val="center"/>
              <w:rPr>
                <w:sz w:val="16"/>
                <w:szCs w:val="16"/>
              </w:rPr>
            </w:pPr>
          </w:p>
        </w:tc>
        <w:tc>
          <w:tcPr>
            <w:tcW w:w="383"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20" w:type="dxa"/>
            <w:vAlign w:val="bottom"/>
          </w:tcPr>
          <w:p>
            <w:pPr>
              <w:jc w:val="center"/>
              <w:rPr>
                <w:sz w:val="16"/>
                <w:szCs w:val="16"/>
              </w:rPr>
            </w:pPr>
            <w:r>
              <w:rPr>
                <w:sz w:val="16"/>
                <w:szCs w:val="16"/>
              </w:rPr>
              <w:t xml:space="preserve"> </w:t>
            </w:r>
          </w:p>
        </w:tc>
        <w:tc>
          <w:tcPr>
            <w:tcW w:w="462"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26"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25" w:type="dxa"/>
            <w:vAlign w:val="bottom"/>
          </w:tcPr>
          <w:p>
            <w:pPr>
              <w:jc w:val="center"/>
              <w:rPr>
                <w:sz w:val="16"/>
                <w:szCs w:val="16"/>
              </w:rPr>
            </w:pPr>
            <w:r>
              <w:rPr>
                <w:sz w:val="16"/>
                <w:szCs w:val="16"/>
              </w:rPr>
              <w:t xml:space="preserve"> </w:t>
            </w:r>
          </w:p>
        </w:tc>
        <w:tc>
          <w:tcPr>
            <w:tcW w:w="438" w:type="dxa"/>
          </w:tcPr>
          <w:p>
            <w:pPr>
              <w:jc w:val="center"/>
              <w:rPr>
                <w:sz w:val="16"/>
                <w:szCs w:val="16"/>
              </w:rPr>
            </w:pPr>
          </w:p>
        </w:tc>
        <w:tc>
          <w:tcPr>
            <w:tcW w:w="341" w:type="dxa"/>
          </w:tcPr>
          <w:p>
            <w:pPr>
              <w:jc w:val="center"/>
              <w:rPr>
                <w:sz w:val="16"/>
                <w:szCs w:val="16"/>
              </w:rPr>
            </w:pPr>
          </w:p>
        </w:tc>
        <w:tc>
          <w:tcPr>
            <w:tcW w:w="341" w:type="dxa"/>
          </w:tcPr>
          <w:p>
            <w:pPr>
              <w:jc w:val="center"/>
              <w:rPr>
                <w:sz w:val="16"/>
                <w:szCs w:val="16"/>
              </w:rPr>
            </w:pPr>
          </w:p>
        </w:tc>
        <w:tc>
          <w:tcPr>
            <w:tcW w:w="341" w:type="dxa"/>
          </w:tcPr>
          <w:p>
            <w:pPr>
              <w:jc w:val="center"/>
              <w:rPr>
                <w:sz w:val="16"/>
                <w:szCs w:val="16"/>
              </w:rPr>
            </w:pPr>
          </w:p>
        </w:tc>
      </w:tr>
    </w:tbl>
    <w:p>
      <w:pPr>
        <w:tabs>
          <w:tab w:val="left" w:pos="14317"/>
        </w:tabs>
        <w:ind w:right="113"/>
        <w:jc w:val="right"/>
        <w:rPr>
          <w:bCs/>
          <w:sz w:val="16"/>
          <w:szCs w:val="16"/>
        </w:rPr>
      </w:pPr>
    </w:p>
    <w:p>
      <w:pPr>
        <w:tabs>
          <w:tab w:val="left" w:pos="-709"/>
        </w:tabs>
        <w:ind w:left="-993"/>
        <w:rPr>
          <w:bCs/>
          <w:sz w:val="18"/>
          <w:szCs w:val="18"/>
          <w:lang w:val="en-US"/>
        </w:rPr>
      </w:pPr>
      <w:r>
        <w:rPr>
          <w:bCs/>
          <w:sz w:val="18"/>
          <w:szCs w:val="18"/>
        </w:rPr>
        <w:t xml:space="preserve">Примечание к таблице </w:t>
      </w:r>
      <w:r>
        <w:rPr>
          <w:bCs/>
          <w:sz w:val="18"/>
          <w:szCs w:val="18"/>
          <w:lang w:val="en-US"/>
        </w:rPr>
        <w:t xml:space="preserve">1</w:t>
      </w:r>
      <w:r>
        <w:rPr>
          <w:bCs/>
          <w:sz w:val="18"/>
          <w:szCs w:val="18"/>
        </w:rPr>
        <w:t xml:space="preserve">:</w:t>
      </w:r>
      <w:r>
        <w:t xml:space="preserve"> </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стлб.3 – выбирается наименование филиала/энергообъекта из всплывающего списка:</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стлб.4 – указывается краткие обстоятельства, сведения (в том числе о повреждениях и последствиях) и причины, кратко описывающие полную причинно-следственную связь событий.</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стлб.5 – указывается подпункт раздела 5 настоящей Методики (выбирается из всплывающего списка):</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стлб.7 – указывается категория события (выбирается из всплывающего списка): </w:t>
      </w:r>
    </w:p>
    <w:p>
      <w:pPr>
        <w:pStyle w:val="aff4"/>
        <w:tabs>
          <w:tab w:val="left" w:pos="-851"/>
          <w:tab w:val="left" w:pos="0"/>
          <w:tab w:val="left" w:pos="284"/>
        </w:tabs>
        <w:ind w:left="-1134" w:right="-201" w:firstLine="850"/>
        <w:rPr>
          <w:bCs/>
          <w:sz w:val="16"/>
          <w:szCs w:val="16"/>
        </w:rPr>
      </w:pPr>
      <w:r>
        <w:rPr>
          <w:bCs/>
          <w:sz w:val="16"/>
          <w:szCs w:val="16"/>
        </w:rPr>
        <w:t xml:space="preserve">ОУ – для событий внутреннего учета (особого учета), не относящиеся к официальному учету;</w:t>
      </w:r>
    </w:p>
    <w:p>
      <w:pPr>
        <w:pStyle w:val="aff4"/>
        <w:tabs>
          <w:tab w:val="left" w:pos="-851"/>
          <w:tab w:val="left" w:pos="0"/>
          <w:tab w:val="left" w:pos="284"/>
        </w:tabs>
        <w:ind w:left="-1134" w:right="-201" w:firstLine="850"/>
        <w:rPr>
          <w:bCs/>
          <w:sz w:val="16"/>
          <w:szCs w:val="16"/>
        </w:rPr>
      </w:pPr>
      <w:r>
        <w:rPr>
          <w:bCs/>
          <w:sz w:val="16"/>
          <w:szCs w:val="16"/>
        </w:rPr>
        <w:t xml:space="preserve">БА – аварии и нарушения в работе энергооборудования согласно официальному учету.</w:t>
      </w:r>
    </w:p>
    <w:p>
      <w:pPr>
        <w:pStyle w:val="aff4"/>
        <w:numPr>
          <w:numId w:val="30"/>
          <w:ilvl w:val="0"/>
        </w:numPr>
        <w:tabs>
          <w:tab w:val="clear" w:pos="1080"/>
          <w:tab w:val="left" w:pos="-851"/>
          <w:tab w:val="left" w:pos="0"/>
          <w:tab w:val="left" w:pos="284"/>
          <w:tab w:val="num" w:pos="720"/>
          <w:tab w:val="num" w:pos="1276"/>
        </w:tabs>
        <w:ind w:left="-851" w:right="-201" w:hanging="283"/>
        <w:rPr>
          <w:bCs/>
          <w:sz w:val="16"/>
          <w:szCs w:val="16"/>
        </w:rPr>
      </w:pPr>
      <w:r>
        <w:rPr>
          <w:bCs/>
          <w:sz w:val="16"/>
          <w:szCs w:val="16"/>
        </w:rPr>
        <w:t xml:space="preserve">к стлб.8. – указывается принадлежность к ДПМ, в противном случае не заполняется.</w:t>
      </w:r>
    </w:p>
    <w:p>
      <w:pPr>
        <w:pStyle w:val="aff4"/>
        <w:numPr>
          <w:numId w:val="30"/>
          <w:ilvl w:val="0"/>
        </w:numPr>
        <w:tabs>
          <w:tab w:val="clear" w:pos="1080"/>
          <w:tab w:val="left" w:pos="-851"/>
          <w:tab w:val="left" w:pos="0"/>
          <w:tab w:val="left" w:pos="284"/>
          <w:tab w:val="num" w:pos="720"/>
          <w:tab w:val="num" w:pos="1276"/>
        </w:tabs>
        <w:ind w:left="-851" w:right="-201" w:hanging="283"/>
        <w:rPr>
          <w:bCs/>
          <w:sz w:val="16"/>
          <w:szCs w:val="16"/>
        </w:rPr>
      </w:pPr>
      <w:r>
        <w:rPr>
          <w:bCs/>
          <w:sz w:val="16"/>
          <w:szCs w:val="16"/>
        </w:rPr>
        <w:t xml:space="preserve">к стлб.9. – в случае аварий/нарушений в работе энергооборудования «не блочной части», указывается диспетчерское наименование оборудования по классификационному признаку.</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стлб.10 – указывается тип поврежденного/отказавшего оборудования (выбирается из всплывающего списка): </w:t>
      </w:r>
      <w:r>
        <w:rPr>
          <w:bCs/>
          <w:i/>
          <w:sz w:val="16"/>
          <w:szCs w:val="16"/>
        </w:rPr>
        <w:t xml:space="preserve">ПН (поверхность нагрева); </w:t>
      </w:r>
      <w:r>
        <w:rPr>
          <w:i/>
          <w:color w:val="000000"/>
          <w:sz w:val="16"/>
          <w:szCs w:val="16"/>
        </w:rPr>
        <w:t xml:space="preserve">Трубопроводы/Маслопроводы/Водоводы/Дренаж; Арматура/СК/РК/ПК; Кабели силовые/</w:t>
      </w:r>
      <w:r>
        <w:rPr>
          <w:i/>
          <w:color w:val="000000"/>
          <w:sz w:val="16"/>
          <w:szCs w:val="16"/>
        </w:rPr>
        <w:t xml:space="preserve">Шинопроводы</w:t>
      </w:r>
      <w:r>
        <w:rPr>
          <w:i/>
          <w:color w:val="000000"/>
          <w:sz w:val="16"/>
          <w:szCs w:val="16"/>
        </w:rPr>
        <w:t xml:space="preserve">/Изоляторы/Контакторы; Кабели контрольно-измерительные; Устройства РЗА/ПАА; Устройства ТАИ/ТЗ; Устройства АСУТП; СДТУ; ВВ; (воздушные выключатели), ЭВ; ВМ; Разъединители ОРУ/ОСИ/Ошиновка/ОПН/Разрядник; ТН/ТТ; Турбина/Турбинное оборудование; Генератор; Трансформатор/ШР; </w:t>
      </w:r>
      <w:r>
        <w:rPr>
          <w:i/>
          <w:color w:val="000000"/>
          <w:sz w:val="16"/>
          <w:szCs w:val="16"/>
        </w:rPr>
        <w:t xml:space="preserve">Газ.хоз</w:t>
      </w:r>
      <w:r>
        <w:rPr>
          <w:i/>
          <w:color w:val="000000"/>
          <w:sz w:val="16"/>
          <w:szCs w:val="16"/>
        </w:rPr>
        <w:t xml:space="preserve">-во/</w:t>
      </w:r>
      <w:r>
        <w:rPr>
          <w:i/>
          <w:color w:val="000000"/>
          <w:sz w:val="16"/>
          <w:szCs w:val="16"/>
        </w:rPr>
        <w:t xml:space="preserve">Топл.оборуд</w:t>
      </w:r>
      <w:r>
        <w:rPr>
          <w:i/>
          <w:color w:val="000000"/>
          <w:sz w:val="16"/>
          <w:szCs w:val="16"/>
        </w:rPr>
        <w:t xml:space="preserve">.; </w:t>
      </w:r>
      <w:r>
        <w:rPr>
          <w:i/>
          <w:color w:val="000000"/>
          <w:sz w:val="16"/>
          <w:szCs w:val="16"/>
        </w:rPr>
        <w:t xml:space="preserve">ЗиС</w:t>
      </w:r>
      <w:r>
        <w:rPr>
          <w:i/>
          <w:color w:val="000000"/>
          <w:sz w:val="16"/>
          <w:szCs w:val="16"/>
        </w:rPr>
        <w:t xml:space="preserve">; ГТС; ДС/ДВ/ТДМ/РВП/ВГД/ВПВ; </w:t>
      </w:r>
      <w:r>
        <w:rPr>
          <w:i/>
          <w:color w:val="000000"/>
          <w:sz w:val="16"/>
          <w:szCs w:val="16"/>
        </w:rPr>
        <w:t xml:space="preserve">ПитНас</w:t>
      </w:r>
      <w:r>
        <w:rPr>
          <w:i/>
          <w:color w:val="000000"/>
          <w:sz w:val="16"/>
          <w:szCs w:val="16"/>
        </w:rPr>
        <w:t xml:space="preserve">/БН/ЦН/КЭН; МТС (магистральные тепловые сети); РТС (распределительные и квартальные тепловые сети); </w:t>
      </w:r>
      <w:r>
        <w:rPr>
          <w:i/>
          <w:color w:val="000000"/>
          <w:sz w:val="16"/>
          <w:szCs w:val="16"/>
        </w:rPr>
        <w:t xml:space="preserve">ГоУФ</w:t>
      </w:r>
      <w:r>
        <w:rPr>
          <w:i/>
          <w:color w:val="000000"/>
          <w:sz w:val="16"/>
          <w:szCs w:val="16"/>
        </w:rPr>
        <w:t xml:space="preserve"> (горелочные устройства, форсунки); газоходы/дымовые трубы; </w:t>
      </w:r>
      <w:r>
        <w:rPr>
          <w:i/>
          <w:color w:val="000000"/>
          <w:sz w:val="16"/>
          <w:szCs w:val="16"/>
        </w:rPr>
        <w:t xml:space="preserve">Мельн</w:t>
      </w:r>
      <w:r>
        <w:rPr>
          <w:i/>
          <w:color w:val="000000"/>
          <w:sz w:val="16"/>
          <w:szCs w:val="16"/>
        </w:rPr>
        <w:t xml:space="preserve">/</w:t>
      </w:r>
      <w:r>
        <w:rPr>
          <w:i/>
          <w:color w:val="000000"/>
          <w:sz w:val="16"/>
          <w:szCs w:val="16"/>
        </w:rPr>
        <w:t xml:space="preserve">Угольн</w:t>
      </w:r>
      <w:r>
        <w:rPr>
          <w:i/>
          <w:color w:val="000000"/>
          <w:sz w:val="16"/>
          <w:szCs w:val="16"/>
        </w:rPr>
        <w:t xml:space="preserve">.; Обор/</w:t>
      </w:r>
      <w:r>
        <w:rPr>
          <w:i/>
          <w:color w:val="000000"/>
          <w:sz w:val="16"/>
          <w:szCs w:val="16"/>
        </w:rPr>
        <w:t xml:space="preserve">Золошлак</w:t>
      </w:r>
      <w:r>
        <w:rPr>
          <w:i/>
          <w:color w:val="000000"/>
          <w:sz w:val="16"/>
          <w:szCs w:val="16"/>
        </w:rPr>
        <w:t xml:space="preserve">; ПВД/ПНД/</w:t>
      </w:r>
      <w:r>
        <w:rPr>
          <w:i/>
          <w:color w:val="000000"/>
          <w:sz w:val="16"/>
          <w:szCs w:val="16"/>
        </w:rPr>
        <w:t xml:space="preserve">Конд</w:t>
      </w:r>
      <w:r>
        <w:rPr>
          <w:i/>
          <w:color w:val="000000"/>
          <w:sz w:val="16"/>
          <w:szCs w:val="16"/>
        </w:rPr>
        <w:t xml:space="preserve">/</w:t>
      </w:r>
      <w:r>
        <w:rPr>
          <w:i/>
          <w:color w:val="000000"/>
          <w:sz w:val="16"/>
          <w:szCs w:val="16"/>
        </w:rPr>
        <w:t xml:space="preserve">Деаэр</w:t>
      </w:r>
      <w:r>
        <w:rPr>
          <w:i/>
          <w:color w:val="000000"/>
          <w:sz w:val="16"/>
          <w:szCs w:val="16"/>
        </w:rPr>
        <w:t xml:space="preserve">/БРОУ; Система возбуждения; КРУ/КРУЭ.</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стлб.11,12. – дата и время события указывается московское, значения заполняются в формате «13.03.2019 16:02:00».</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стлб.17. – указывается один наиболее характерный код по виду оборудования, значения заполняются в формате «3.3.1».</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стлб.18,19. – могут указываться несколько классификационных кодов в одну строку, через запятую, далее пробел, например: «3.4.5, 3.4.7, 3.4.2», «4.2, 4.7». Перенос на следующую строку, либо дополни тельные разрывы не допускаются.</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стлб.20,21. – указывается «да» или «нет» (выбирается из всплывающего списка).</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стлб.22-35. – указывается значения с точностью до третьего знака после запятой. В случае отсутствия ущерба, по результатам расчета, в ячейки указывается значение «0».</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стлб.37. – указывается «ОП» при установлении, по результатам расследования, ошибочных действий персонала диспетчерское наименование объекта ДПМ.</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стлб.38. – указывается «не ТН» для событий п.п.5.3- 5.6, если данные события (по результатам расследования) не связанны с техническим состоянием/нарушениями в работе оборудования и организацией его эксплуатации (в том числе: Продление ремонтной площадки; Теплофикационные ограничения и сокращения потребление пара; Нарушение регламентов СО ЕЭС; Отклонения от УДГ; Неисполнение ОПРЧ, Испытательные заявки в рамках </w:t>
      </w:r>
      <w:r>
        <w:rPr>
          <w:bCs/>
          <w:sz w:val="16"/>
          <w:szCs w:val="16"/>
        </w:rPr>
        <w:t xml:space="preserve">проведения/после ремонта, если не было аварийное отключение/повреждение оборудования; Неисполнение диапазона регулирования реактивной мощности, Вынужденный простой или снижение мощности в связи работами на оборудовании третьих лиц </w:t>
      </w:r>
      <w:r>
        <w:rPr>
          <w:bCs/>
          <w:sz w:val="12"/>
          <w:szCs w:val="12"/>
        </w:rPr>
        <w:t xml:space="preserve">(</w:t>
      </w:r>
      <w:r>
        <w:rPr>
          <w:bCs/>
          <w:sz w:val="15"/>
          <w:szCs w:val="15"/>
        </w:rPr>
        <w:t xml:space="preserve">ремонт ГРС и газопроводы высокого давления, осмотр донного водосброса и пр.</w:t>
      </w:r>
      <w:r>
        <w:rPr>
          <w:bCs/>
          <w:sz w:val="12"/>
          <w:szCs w:val="12"/>
        </w:rPr>
        <w:t xml:space="preserve">)</w:t>
      </w:r>
      <w:r>
        <w:rPr>
          <w:bCs/>
          <w:sz w:val="16"/>
          <w:szCs w:val="16"/>
        </w:rPr>
        <w:t xml:space="preserve">), в противном случае не заполняется;</w:t>
      </w:r>
    </w:p>
    <w:p>
      <w:pPr>
        <w:pStyle w:val="aff4"/>
        <w:numPr>
          <w:numId w:val="30"/>
          <w:ilvl w:val="0"/>
        </w:numPr>
        <w:tabs>
          <w:tab w:val="clear" w:pos="1080"/>
          <w:tab w:val="left" w:pos="-851"/>
          <w:tab w:val="left" w:pos="0"/>
          <w:tab w:val="left" w:pos="284"/>
          <w:tab w:val="num" w:pos="720"/>
        </w:tabs>
        <w:ind w:left="-851" w:right="-201" w:hanging="283"/>
        <w:rPr>
          <w:bCs/>
          <w:sz w:val="16"/>
          <w:szCs w:val="16"/>
        </w:rPr>
      </w:pPr>
      <w:r>
        <w:rPr>
          <w:bCs/>
          <w:sz w:val="16"/>
          <w:szCs w:val="16"/>
        </w:rPr>
        <w:t xml:space="preserve">к стлб.39. – выбирается из всплывающего списка.</w:t>
      </w:r>
    </w:p>
    <w:p>
      <w:pPr>
        <w:tabs>
          <w:tab w:val="left" w:pos="14317"/>
        </w:tabs>
        <w:ind w:right="113"/>
        <w:jc w:val="right"/>
        <w:rPr>
          <w:bCs/>
          <w:sz w:val="16"/>
          <w:szCs w:val="16"/>
        </w:rPr>
      </w:pPr>
      <w:r>
        <w:rPr>
          <w:bCs/>
          <w:sz w:val="16"/>
          <w:szCs w:val="16"/>
        </w:rPr>
        <w:t xml:space="preserve">Таблица 2</w:t>
      </w:r>
    </w:p>
    <w:tbl>
      <w:tblPr>
        <w:tblpPr w:horzAnchor="page" w:tblpX="631" w:vertAnchor="text" w:tblpY="206" w:leftFromText="180" w:rightFromText="180"/>
        <w:tblW w:w="156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523"/>
        <w:gridCol w:w="2020"/>
        <w:gridCol w:w="4371"/>
        <w:gridCol w:w="1269"/>
        <w:gridCol w:w="1128"/>
        <w:gridCol w:w="1128"/>
        <w:gridCol w:w="1243"/>
        <w:gridCol w:w="1294"/>
        <w:gridCol w:w="1128"/>
        <w:gridCol w:w="1552"/>
      </w:tblGrid>
      <w:tr>
        <w:trPr>
          <w:trHeight w:val="446"/>
        </w:trPr>
        <w:tc>
          <w:tcPr>
            <w:tcW w:w="523" w:type="dxa"/>
            <w:vAlign w:val="center"/>
          </w:tcPr>
          <w:p>
            <w:pPr>
              <w:jc w:val="center"/>
              <w:rPr>
                <w:bCs/>
                <w:sz w:val="20"/>
                <w:szCs w:val="20"/>
              </w:rPr>
            </w:pPr>
            <w:r>
              <w:rPr>
                <w:bCs/>
                <w:sz w:val="20"/>
                <w:szCs w:val="20"/>
              </w:rPr>
              <w:t xml:space="preserve">№</w:t>
            </w:r>
          </w:p>
        </w:tc>
        <w:tc>
          <w:tcPr>
            <w:tcW w:w="2020" w:type="dxa"/>
            <w:vAlign w:val="center"/>
          </w:tcPr>
          <w:p>
            <w:pPr>
              <w:ind w:left="-57" w:right="-57"/>
              <w:jc w:val="center"/>
              <w:rPr>
                <w:b/>
                <w:bCs/>
                <w:sz w:val="16"/>
                <w:szCs w:val="16"/>
              </w:rPr>
            </w:pPr>
            <w:r>
              <w:rPr>
                <w:b/>
                <w:bCs/>
                <w:sz w:val="16"/>
                <w:szCs w:val="16"/>
              </w:rPr>
              <w:t xml:space="preserve">Оцениваемый период</w:t>
            </w:r>
          </w:p>
          <w:p>
            <w:pPr>
              <w:ind w:left="-57" w:right="-57"/>
              <w:jc w:val="center"/>
              <w:rPr>
                <w:bCs/>
                <w:sz w:val="16"/>
                <w:szCs w:val="16"/>
              </w:rPr>
            </w:pPr>
            <w:r>
              <w:rPr>
                <w:bCs/>
                <w:sz w:val="16"/>
                <w:szCs w:val="16"/>
              </w:rPr>
              <w:t xml:space="preserve">(месяц, квартал, год)</w:t>
            </w:r>
          </w:p>
        </w:tc>
        <w:tc>
          <w:tcPr>
            <w:tcW w:w="4371" w:type="dxa"/>
            <w:tcMar>
              <w:left w:w="108" w:type="dxa"/>
              <w:top w:w="0" w:type="dxa"/>
              <w:right w:w="108" w:type="dxa"/>
              <w:bottom w:w="0" w:type="dxa"/>
            </w:tcMar>
            <w:vAlign w:val="center"/>
            <w:hideMark/>
          </w:tcPr>
          <w:p>
            <w:pPr>
              <w:jc w:val="center"/>
              <w:rPr>
                <w:b/>
                <w:bCs/>
                <w:sz w:val="18"/>
                <w:szCs w:val="18"/>
              </w:rPr>
            </w:pPr>
            <w:r>
              <w:rPr>
                <w:b/>
                <w:bCs/>
                <w:sz w:val="18"/>
                <w:szCs w:val="18"/>
              </w:rPr>
              <w:t xml:space="preserve">Наименование показателей</w:t>
            </w:r>
          </w:p>
          <w:p>
            <w:pPr>
              <w:jc w:val="center"/>
              <w:rPr>
                <w:rFonts w:eastAsia="Calibri"/>
                <w:bCs/>
                <w:sz w:val="18"/>
                <w:szCs w:val="18"/>
              </w:rPr>
            </w:pPr>
            <w:r>
              <w:rPr>
                <w:bCs/>
                <w:sz w:val="18"/>
                <w:szCs w:val="18"/>
              </w:rPr>
              <w:t xml:space="preserve">(среднее значение за оцениваемый период)</w:t>
            </w:r>
          </w:p>
        </w:tc>
        <w:tc>
          <w:tcPr>
            <w:tcW w:w="1269" w:type="dxa"/>
            <w:vAlign w:val="center"/>
          </w:tcPr>
          <w:p>
            <w:pPr>
              <w:jc w:val="center"/>
              <w:rPr>
                <w:b/>
                <w:bCs/>
                <w:sz w:val="16"/>
                <w:szCs w:val="16"/>
              </w:rPr>
            </w:pPr>
            <w:r>
              <w:rPr>
                <w:b/>
                <w:bCs/>
                <w:sz w:val="16"/>
                <w:szCs w:val="16"/>
              </w:rPr>
              <w:t xml:space="preserve">Филиал 1</w:t>
            </w:r>
          </w:p>
        </w:tc>
        <w:tc>
          <w:tcPr>
            <w:tcW w:w="1128" w:type="dxa"/>
            <w:vAlign w:val="center"/>
          </w:tcPr>
          <w:p>
            <w:pPr>
              <w:jc w:val="center"/>
              <w:rPr>
                <w:b/>
                <w:bCs/>
                <w:sz w:val="16"/>
                <w:szCs w:val="16"/>
              </w:rPr>
            </w:pPr>
            <w:r>
              <w:rPr>
                <w:b/>
                <w:bCs/>
                <w:sz w:val="16"/>
                <w:szCs w:val="16"/>
              </w:rPr>
              <w:t xml:space="preserve">Филиал 2</w:t>
            </w:r>
          </w:p>
        </w:tc>
        <w:tc>
          <w:tcPr>
            <w:tcW w:w="1128" w:type="dxa"/>
            <w:vAlign w:val="center"/>
          </w:tcPr>
          <w:p>
            <w:pPr>
              <w:jc w:val="center"/>
              <w:rPr>
                <w:b/>
                <w:bCs/>
                <w:sz w:val="16"/>
                <w:szCs w:val="16"/>
              </w:rPr>
            </w:pPr>
            <w:r>
              <w:rPr>
                <w:b/>
                <w:bCs/>
                <w:sz w:val="16"/>
                <w:szCs w:val="16"/>
              </w:rPr>
              <w:t xml:space="preserve">Филиал 3</w:t>
            </w:r>
          </w:p>
        </w:tc>
        <w:tc>
          <w:tcPr>
            <w:tcW w:w="1243" w:type="dxa"/>
            <w:vAlign w:val="center"/>
          </w:tcPr>
          <w:p>
            <w:pPr>
              <w:jc w:val="center"/>
              <w:rPr>
                <w:b/>
                <w:bCs/>
                <w:sz w:val="16"/>
                <w:szCs w:val="16"/>
              </w:rPr>
            </w:pPr>
            <w:r>
              <w:rPr>
                <w:b/>
                <w:bCs/>
                <w:sz w:val="16"/>
                <w:szCs w:val="16"/>
              </w:rPr>
              <w:t xml:space="preserve">Филиал ...</w:t>
            </w:r>
          </w:p>
        </w:tc>
        <w:tc>
          <w:tcPr>
            <w:tcW w:w="1294" w:type="dxa"/>
            <w:vAlign w:val="center"/>
          </w:tcPr>
          <w:p>
            <w:pPr>
              <w:jc w:val="center"/>
              <w:rPr>
                <w:b/>
                <w:bCs/>
                <w:sz w:val="16"/>
                <w:szCs w:val="16"/>
              </w:rPr>
            </w:pPr>
            <w:r>
              <w:rPr>
                <w:b/>
                <w:bCs/>
                <w:sz w:val="16"/>
                <w:szCs w:val="16"/>
              </w:rPr>
              <w:t xml:space="preserve">Филиал </w:t>
            </w:r>
            <w:r>
              <w:rPr>
                <w:b/>
                <w:bCs/>
                <w:sz w:val="16"/>
                <w:szCs w:val="16"/>
                <w:lang w:val="en-US"/>
              </w:rPr>
              <w:t xml:space="preserve">N</w:t>
            </w:r>
            <w:r>
              <w:rPr>
                <w:b/>
                <w:bCs/>
                <w:sz w:val="16"/>
                <w:szCs w:val="16"/>
              </w:rPr>
              <w:t xml:space="preserve">-1</w:t>
            </w:r>
          </w:p>
        </w:tc>
        <w:tc>
          <w:tcPr>
            <w:tcW w:w="1128" w:type="dxa"/>
            <w:vAlign w:val="center"/>
          </w:tcPr>
          <w:p>
            <w:pPr>
              <w:jc w:val="center"/>
              <w:rPr>
                <w:b/>
                <w:bCs/>
                <w:sz w:val="16"/>
                <w:szCs w:val="16"/>
                <w:lang w:val="en-US"/>
              </w:rPr>
            </w:pPr>
            <w:r>
              <w:rPr>
                <w:b/>
                <w:bCs/>
                <w:sz w:val="16"/>
                <w:szCs w:val="16"/>
              </w:rPr>
              <w:t xml:space="preserve">Филиал </w:t>
            </w:r>
            <w:r>
              <w:rPr>
                <w:b/>
                <w:bCs/>
                <w:sz w:val="16"/>
                <w:szCs w:val="16"/>
                <w:lang w:val="en-US"/>
              </w:rPr>
              <w:t xml:space="preserve">N</w:t>
            </w:r>
          </w:p>
        </w:tc>
        <w:tc>
          <w:tcPr>
            <w:tcW w:w="1552" w:type="dxa"/>
            <w:vAlign w:val="center"/>
          </w:tcPr>
          <w:p>
            <w:pPr>
              <w:jc w:val="center"/>
              <w:rPr>
                <w:b/>
                <w:bCs/>
                <w:sz w:val="16"/>
                <w:szCs w:val="16"/>
                <w:lang w:val="en-US"/>
              </w:rPr>
            </w:pPr>
            <w:r>
              <w:rPr>
                <w:b/>
                <w:bCs/>
                <w:sz w:val="16"/>
                <w:szCs w:val="16"/>
              </w:rPr>
              <w:t xml:space="preserve">Всего</w:t>
            </w:r>
          </w:p>
          <w:p>
            <w:pPr>
              <w:jc w:val="center"/>
              <w:rPr>
                <w:b/>
                <w:bCs/>
                <w:sz w:val="16"/>
                <w:szCs w:val="16"/>
              </w:rPr>
            </w:pPr>
            <w:r>
              <w:rPr>
                <w:b/>
                <w:bCs/>
                <w:sz w:val="16"/>
                <w:szCs w:val="16"/>
              </w:rPr>
              <w:t xml:space="preserve">по Обществу</w:t>
            </w:r>
          </w:p>
        </w:tc>
      </w:tr>
      <w:tr>
        <w:trPr>
          <w:trHeight w:val="326"/>
        </w:trPr>
        <w:tc>
          <w:tcPr>
            <w:tcW w:w="523" w:type="dxa"/>
            <w:vAlign w:val="center"/>
          </w:tcPr>
          <w:p>
            <w:pPr>
              <w:jc w:val="center"/>
              <w:rPr>
                <w:sz w:val="20"/>
                <w:szCs w:val="20"/>
              </w:rPr>
            </w:pPr>
            <w:r>
              <w:rPr>
                <w:sz w:val="20"/>
                <w:szCs w:val="20"/>
              </w:rPr>
              <w:t xml:space="preserve">1</w:t>
            </w:r>
          </w:p>
        </w:tc>
        <w:tc>
          <w:tcPr>
            <w:tcW w:w="2020" w:type="dxa"/>
          </w:tcPr>
          <w:p>
            <w:pPr>
              <w:rPr>
                <w:sz w:val="20"/>
                <w:szCs w:val="20"/>
              </w:rPr>
            </w:pPr>
          </w:p>
        </w:tc>
        <w:tc>
          <w:tcPr>
            <w:tcW w:w="4371" w:type="dxa"/>
            <w:tcMar>
              <w:left w:w="108" w:type="dxa"/>
              <w:top w:w="0" w:type="dxa"/>
              <w:right w:w="108" w:type="dxa"/>
              <w:bottom w:w="0" w:type="dxa"/>
            </w:tcMar>
            <w:hideMark/>
          </w:tcPr>
          <w:p>
            <w:pPr>
              <w:spacing w:line="226" w:lineRule="auto"/>
              <w:rPr>
                <w:rFonts w:eastAsia="Calibri"/>
                <w:color w:val="1f497d"/>
                <w:sz w:val="18"/>
                <w:szCs w:val="18"/>
                <w:lang w:eastAsia="en-US"/>
              </w:rPr>
            </w:pPr>
            <w:r>
              <w:rPr>
                <w:sz w:val="18"/>
                <w:szCs w:val="18"/>
              </w:rPr>
              <w:t xml:space="preserve">Удельный ущерб (к приведённой </w:t>
            </w:r>
            <w:r>
              <w:rPr>
                <w:sz w:val="18"/>
                <w:szCs w:val="18"/>
                <w:u w:val="single"/>
              </w:rPr>
              <w:t xml:space="preserve">установленной</w:t>
            </w:r>
            <w:r>
              <w:rPr>
                <w:sz w:val="18"/>
                <w:szCs w:val="18"/>
              </w:rPr>
              <w:t xml:space="preserve"> мощности), </w:t>
            </w:r>
            <w:r>
              <w:rPr>
                <w:position w:val="-14"/>
                <w:sz w:val="18"/>
                <w:szCs w:val="18"/>
              </w:rPr>
              <w:object w:dxaOrig="639"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5" o:spid="_x0000_s185" type="#_x0000_t75" style="width:34.55pt;height:21.65pt;mso-wrap-distance-left:0.00pt;mso-wrap-distance-top:0.00pt;mso-wrap-distance-right:0.00pt;mso-wrap-distance-bottom:0.00pt;" filled="f" stroked="f">
                  <v:path textboxrect="0,0,0,0"/>
                  <v:imagedata r:id="rId385" o:title=""/>
                </v:shape>
                <o:OLEObject DrawAspect="Content" r:id="rId386" ObjectID="_152504185" ProgID="Equation.3" ShapeID="_x0000_i185" Type="Embed"/>
              </w:object>
            </w:r>
            <w:r>
              <w:rPr>
                <w:sz w:val="18"/>
                <w:szCs w:val="18"/>
              </w:rPr>
              <w:t xml:space="preserve"> [тыс. руб./МВт],</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536"/>
        </w:trPr>
        <w:tc>
          <w:tcPr>
            <w:tcW w:w="523" w:type="dxa"/>
            <w:vAlign w:val="center"/>
          </w:tcPr>
          <w:p>
            <w:pPr>
              <w:jc w:val="center"/>
              <w:rPr>
                <w:sz w:val="20"/>
                <w:szCs w:val="20"/>
              </w:rPr>
            </w:pPr>
            <w:r>
              <w:rPr>
                <w:sz w:val="20"/>
                <w:szCs w:val="20"/>
              </w:rPr>
              <w:t xml:space="preserve">2</w:t>
            </w:r>
          </w:p>
        </w:tc>
        <w:tc>
          <w:tcPr>
            <w:tcW w:w="2020" w:type="dxa"/>
          </w:tcPr>
          <w:p>
            <w:pPr>
              <w:rPr>
                <w:sz w:val="20"/>
                <w:szCs w:val="20"/>
              </w:rPr>
            </w:pPr>
          </w:p>
        </w:tc>
        <w:tc>
          <w:tcPr>
            <w:tcW w:w="4371" w:type="dxa"/>
            <w:tcMar>
              <w:left w:w="108" w:type="dxa"/>
              <w:top w:w="0" w:type="dxa"/>
              <w:right w:w="108" w:type="dxa"/>
              <w:bottom w:w="0" w:type="dxa"/>
            </w:tcMar>
          </w:tcPr>
          <w:p>
            <w:pPr>
              <w:spacing w:line="226" w:lineRule="auto"/>
              <w:rPr>
                <w:b/>
                <w:bCs/>
                <w:i/>
                <w:sz w:val="18"/>
                <w:szCs w:val="18"/>
              </w:rPr>
            </w:pPr>
            <w:r>
              <w:rPr>
                <w:sz w:val="18"/>
                <w:szCs w:val="18"/>
              </w:rPr>
              <w:t xml:space="preserve">Удельный ущерб (к приведённой </w:t>
            </w:r>
            <w:r>
              <w:rPr>
                <w:sz w:val="18"/>
                <w:szCs w:val="18"/>
                <w:u w:val="single"/>
              </w:rPr>
              <w:t xml:space="preserve">располагаемой</w:t>
            </w:r>
            <w:r>
              <w:rPr>
                <w:sz w:val="18"/>
                <w:szCs w:val="18"/>
              </w:rPr>
              <w:t xml:space="preserve"> мощности), </w:t>
            </w:r>
            <w:r>
              <w:rPr>
                <w:position w:val="-14"/>
                <w:sz w:val="18"/>
                <w:szCs w:val="18"/>
              </w:rPr>
              <w:object w:dxaOrig="700" w:dyaOrig="40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6" o:spid="_x0000_s186" type="#_x0000_t75" style="width:34.55pt;height:21.65pt;mso-wrap-distance-left:0.00pt;mso-wrap-distance-top:0.00pt;mso-wrap-distance-right:0.00pt;mso-wrap-distance-bottom:0.00pt;" filled="f" stroked="f">
                  <v:path textboxrect="0,0,0,0"/>
                  <v:imagedata r:id="rId387" o:title=""/>
                </v:shape>
                <o:OLEObject DrawAspect="Content" r:id="rId388" ObjectID="_152504186" ProgID="Equation.3" ShapeID="_x0000_i186" Type="Embed"/>
              </w:object>
            </w:r>
            <w:r>
              <w:rPr>
                <w:sz w:val="18"/>
                <w:szCs w:val="18"/>
              </w:rPr>
              <w:t xml:space="preserve"> [тыс. руб./МВт],</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510"/>
        </w:trPr>
        <w:tc>
          <w:tcPr>
            <w:tcW w:w="523" w:type="dxa"/>
            <w:vAlign w:val="center"/>
          </w:tcPr>
          <w:p>
            <w:pPr>
              <w:jc w:val="center"/>
              <w:rPr>
                <w:sz w:val="20"/>
                <w:szCs w:val="20"/>
              </w:rPr>
            </w:pPr>
            <w:r>
              <w:rPr>
                <w:sz w:val="20"/>
                <w:szCs w:val="20"/>
              </w:rPr>
              <w:t xml:space="preserve">3</w:t>
            </w:r>
          </w:p>
        </w:tc>
        <w:tc>
          <w:tcPr>
            <w:tcW w:w="2020" w:type="dxa"/>
          </w:tcPr>
          <w:p>
            <w:pPr>
              <w:rPr>
                <w:sz w:val="20"/>
                <w:szCs w:val="20"/>
              </w:rPr>
            </w:pPr>
          </w:p>
        </w:tc>
        <w:tc>
          <w:tcPr>
            <w:tcW w:w="4371" w:type="dxa"/>
            <w:tcMar>
              <w:left w:w="108" w:type="dxa"/>
              <w:top w:w="0" w:type="dxa"/>
              <w:right w:w="108" w:type="dxa"/>
              <w:bottom w:w="0" w:type="dxa"/>
            </w:tcMar>
            <w:vAlign w:val="center"/>
          </w:tcPr>
          <w:p>
            <w:pPr>
              <w:spacing w:line="226" w:lineRule="auto"/>
              <w:rPr>
                <w:b/>
                <w:bCs/>
                <w:i/>
                <w:sz w:val="18"/>
                <w:szCs w:val="18"/>
              </w:rPr>
            </w:pPr>
            <w:r>
              <w:rPr>
                <w:sz w:val="18"/>
                <w:szCs w:val="18"/>
              </w:rPr>
              <w:t xml:space="preserve">Удельный ущерб (к приведённой </w:t>
            </w:r>
            <w:r>
              <w:rPr>
                <w:sz w:val="18"/>
                <w:szCs w:val="18"/>
                <w:u w:val="single"/>
              </w:rPr>
              <w:t xml:space="preserve">рабочей </w:t>
            </w:r>
            <w:r>
              <w:rPr>
                <w:sz w:val="18"/>
                <w:szCs w:val="18"/>
              </w:rPr>
              <w:t xml:space="preserve">мощности), </w:t>
            </w:r>
            <w:r>
              <w:rPr>
                <w:position w:val="-10"/>
                <w:sz w:val="18"/>
                <w:szCs w:val="18"/>
              </w:rPr>
              <w:object w:dxaOrig="7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7" o:spid="_x0000_s187" type="#_x0000_t75" style="width:37.45pt;height:14.15pt;mso-wrap-distance-left:0.00pt;mso-wrap-distance-top:0.00pt;mso-wrap-distance-right:0.00pt;mso-wrap-distance-bottom:0.00pt;" filled="f" stroked="f">
                  <v:path textboxrect="0,0,0,0"/>
                  <v:imagedata r:id="rId389" o:title=""/>
                </v:shape>
                <o:OLEObject DrawAspect="Content" r:id="rId390" ObjectID="_152504187" ProgID="Equation.3" ShapeID="_x0000_i187" Type="Embed"/>
              </w:object>
            </w:r>
            <w:r>
              <w:rPr>
                <w:sz w:val="18"/>
                <w:szCs w:val="18"/>
              </w:rPr>
              <w:t xml:space="preserve"> [тыс. руб./МВт],</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436"/>
        </w:trPr>
        <w:tc>
          <w:tcPr>
            <w:tcW w:w="523" w:type="dxa"/>
            <w:vAlign w:val="center"/>
          </w:tcPr>
          <w:p>
            <w:pPr>
              <w:jc w:val="center"/>
              <w:rPr>
                <w:sz w:val="20"/>
                <w:szCs w:val="20"/>
              </w:rPr>
            </w:pPr>
            <w:r>
              <w:rPr>
                <w:sz w:val="20"/>
                <w:szCs w:val="20"/>
              </w:rPr>
              <w:t xml:space="preserve">4</w:t>
            </w:r>
          </w:p>
        </w:tc>
        <w:tc>
          <w:tcPr>
            <w:tcW w:w="2020" w:type="dxa"/>
          </w:tcPr>
          <w:p>
            <w:pPr>
              <w:rPr>
                <w:sz w:val="20"/>
                <w:szCs w:val="20"/>
              </w:rPr>
            </w:pPr>
          </w:p>
        </w:tc>
        <w:tc>
          <w:tcPr>
            <w:tcW w:w="4371" w:type="dxa"/>
            <w:tcMar>
              <w:left w:w="108" w:type="dxa"/>
              <w:top w:w="0" w:type="dxa"/>
              <w:right w:w="108" w:type="dxa"/>
              <w:bottom w:w="0" w:type="dxa"/>
            </w:tcMar>
            <w:vAlign w:val="center"/>
          </w:tcPr>
          <w:p>
            <w:pPr>
              <w:spacing w:line="226" w:lineRule="auto"/>
              <w:rPr>
                <w:sz w:val="18"/>
                <w:szCs w:val="18"/>
                <w:lang w:val="en-US"/>
              </w:rPr>
            </w:pPr>
            <w:r>
              <w:rPr>
                <w:sz w:val="18"/>
                <w:szCs w:val="18"/>
              </w:rPr>
              <w:t xml:space="preserve">Приведённая </w:t>
            </w:r>
            <w:r>
              <w:rPr>
                <w:sz w:val="18"/>
                <w:szCs w:val="18"/>
                <w:u w:val="single"/>
              </w:rPr>
              <w:t xml:space="preserve">установленная</w:t>
            </w:r>
            <w:r>
              <w:rPr>
                <w:sz w:val="18"/>
                <w:szCs w:val="18"/>
              </w:rPr>
              <w:t xml:space="preserve"> </w:t>
            </w:r>
            <w:r>
              <w:rPr>
                <w:sz w:val="18"/>
                <w:szCs w:val="18"/>
              </w:rPr>
              <w:t xml:space="preserve">мощность ,</w:t>
            </w:r>
            <w:r>
              <w:rPr>
                <w:sz w:val="18"/>
                <w:szCs w:val="18"/>
              </w:rPr>
              <w:t xml:space="preserve"> </w:t>
            </w:r>
            <w:r>
              <w:rPr>
                <w:position w:val="-10"/>
                <w:sz w:val="18"/>
                <w:szCs w:val="18"/>
              </w:rPr>
              <w:object w:dxaOrig="76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8" o:spid="_x0000_s188" type="#_x0000_t75" style="width:37.45pt;height:14.15pt;mso-wrap-distance-left:0.00pt;mso-wrap-distance-top:0.00pt;mso-wrap-distance-right:0.00pt;mso-wrap-distance-bottom:0.00pt;" filled="f" stroked="f">
                  <v:path textboxrect="0,0,0,0"/>
                  <v:imagedata r:id="rId391" o:title=""/>
                </v:shape>
                <o:OLEObject DrawAspect="Content" r:id="rId392" ObjectID="_152504188" ProgID="Equation.3" ShapeID="_x0000_i188" Type="Embed"/>
              </w:object>
            </w:r>
            <w:r>
              <w:rPr>
                <w:sz w:val="18"/>
                <w:szCs w:val="18"/>
                <w:lang w:val="en-US"/>
              </w:rPr>
              <w:t xml:space="preserve">[</w:t>
            </w:r>
            <w:r>
              <w:rPr>
                <w:sz w:val="18"/>
                <w:szCs w:val="18"/>
              </w:rPr>
              <w:t xml:space="preserve">МВт</w:t>
            </w:r>
            <w:r>
              <w:rPr>
                <w:sz w:val="18"/>
                <w:szCs w:val="18"/>
                <w:lang w:val="en-US"/>
              </w:rPr>
              <w:t xml:space="preserve">]</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488"/>
        </w:trPr>
        <w:tc>
          <w:tcPr>
            <w:tcW w:w="523" w:type="dxa"/>
            <w:vAlign w:val="center"/>
          </w:tcPr>
          <w:p>
            <w:pPr>
              <w:jc w:val="center"/>
              <w:rPr>
                <w:sz w:val="20"/>
                <w:szCs w:val="20"/>
                <w:lang w:val="en-US"/>
              </w:rPr>
            </w:pPr>
            <w:r>
              <w:rPr>
                <w:sz w:val="20"/>
                <w:szCs w:val="20"/>
                <w:lang w:val="en-US"/>
              </w:rPr>
              <w:t xml:space="preserve">5</w:t>
            </w:r>
          </w:p>
        </w:tc>
        <w:tc>
          <w:tcPr>
            <w:tcW w:w="2020" w:type="dxa"/>
          </w:tcPr>
          <w:p>
            <w:pPr>
              <w:rPr>
                <w:sz w:val="20"/>
                <w:szCs w:val="20"/>
              </w:rPr>
            </w:pPr>
          </w:p>
        </w:tc>
        <w:tc>
          <w:tcPr>
            <w:tcW w:w="4371" w:type="dxa"/>
            <w:tcMar>
              <w:left w:w="108" w:type="dxa"/>
              <w:top w:w="0" w:type="dxa"/>
              <w:right w:w="108" w:type="dxa"/>
              <w:bottom w:w="0" w:type="dxa"/>
            </w:tcMar>
            <w:vAlign w:val="center"/>
          </w:tcPr>
          <w:p>
            <w:pPr>
              <w:spacing w:line="226" w:lineRule="auto"/>
              <w:rPr>
                <w:sz w:val="18"/>
                <w:szCs w:val="18"/>
              </w:rPr>
            </w:pPr>
            <w:r>
              <w:rPr>
                <w:sz w:val="18"/>
                <w:szCs w:val="18"/>
              </w:rPr>
              <w:t xml:space="preserve">Приведённая </w:t>
            </w:r>
            <w:r>
              <w:rPr>
                <w:sz w:val="18"/>
                <w:szCs w:val="18"/>
                <w:u w:val="single"/>
              </w:rPr>
              <w:t xml:space="preserve">располагаемая</w:t>
            </w:r>
            <w:r>
              <w:rPr>
                <w:sz w:val="18"/>
                <w:szCs w:val="18"/>
              </w:rPr>
              <w:t xml:space="preserve"> мощность,</w:t>
            </w:r>
            <w:r>
              <w:rPr>
                <w:sz w:val="18"/>
                <w:szCs w:val="18"/>
                <w:lang w:val="en-US"/>
              </w:rPr>
              <w:t xml:space="preserve"> </w:t>
            </w:r>
            <w:r>
              <w:rPr>
                <w:position w:val="-10"/>
                <w:sz w:val="18"/>
                <w:szCs w:val="18"/>
              </w:rPr>
              <w:object w:dxaOrig="8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9" o:spid="_x0000_s189" type="#_x0000_t75" style="width:38.70pt;height:14.15pt;mso-wrap-distance-left:0.00pt;mso-wrap-distance-top:0.00pt;mso-wrap-distance-right:0.00pt;mso-wrap-distance-bottom:0.00pt;" filled="f" stroked="f">
                  <v:path textboxrect="0,0,0,0"/>
                  <v:imagedata r:id="rId393" o:title=""/>
                </v:shape>
                <o:OLEObject DrawAspect="Content" r:id="rId394" ObjectID="_152504189" ProgID="Equation.3" ShapeID="_x0000_i189" Type="Embed"/>
              </w:object>
            </w:r>
            <w:r>
              <w:rPr>
                <w:sz w:val="18"/>
                <w:szCs w:val="18"/>
                <w:lang w:val="en-US"/>
              </w:rPr>
              <w:t xml:space="preserve"> [</w:t>
            </w:r>
            <w:r>
              <w:rPr>
                <w:sz w:val="18"/>
                <w:szCs w:val="18"/>
              </w:rPr>
              <w:t xml:space="preserve">МВт</w:t>
            </w:r>
            <w:r>
              <w:rPr>
                <w:sz w:val="18"/>
                <w:szCs w:val="18"/>
                <w:lang w:val="en-US"/>
              </w:rPr>
              <w:t xml:space="preserve">]</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425"/>
        </w:trPr>
        <w:tc>
          <w:tcPr>
            <w:tcW w:w="523" w:type="dxa"/>
            <w:vAlign w:val="center"/>
          </w:tcPr>
          <w:p>
            <w:pPr>
              <w:jc w:val="center"/>
              <w:rPr>
                <w:sz w:val="20"/>
                <w:szCs w:val="20"/>
                <w:lang w:val="en-US"/>
              </w:rPr>
            </w:pPr>
            <w:r>
              <w:rPr>
                <w:sz w:val="20"/>
                <w:szCs w:val="20"/>
                <w:lang w:val="en-US"/>
              </w:rPr>
              <w:t xml:space="preserve">6</w:t>
            </w:r>
          </w:p>
        </w:tc>
        <w:tc>
          <w:tcPr>
            <w:tcW w:w="2020" w:type="dxa"/>
          </w:tcPr>
          <w:p>
            <w:pPr>
              <w:rPr>
                <w:sz w:val="20"/>
                <w:szCs w:val="20"/>
              </w:rPr>
            </w:pPr>
          </w:p>
        </w:tc>
        <w:tc>
          <w:tcPr>
            <w:tcW w:w="4371" w:type="dxa"/>
            <w:tcMar>
              <w:left w:w="108" w:type="dxa"/>
              <w:top w:w="0" w:type="dxa"/>
              <w:right w:w="108" w:type="dxa"/>
              <w:bottom w:w="0" w:type="dxa"/>
            </w:tcMar>
            <w:vAlign w:val="center"/>
          </w:tcPr>
          <w:p>
            <w:pPr>
              <w:spacing w:line="226" w:lineRule="auto"/>
              <w:rPr>
                <w:sz w:val="18"/>
                <w:szCs w:val="18"/>
              </w:rPr>
            </w:pPr>
            <w:r>
              <w:rPr>
                <w:sz w:val="18"/>
                <w:szCs w:val="18"/>
              </w:rPr>
              <w:t xml:space="preserve">Приведённая </w:t>
            </w:r>
            <w:r>
              <w:rPr>
                <w:sz w:val="18"/>
                <w:szCs w:val="18"/>
                <w:u w:val="single"/>
              </w:rPr>
              <w:t xml:space="preserve">рабочая</w:t>
            </w:r>
            <w:r>
              <w:rPr>
                <w:sz w:val="18"/>
                <w:szCs w:val="18"/>
              </w:rPr>
              <w:t xml:space="preserve"> мощность,</w:t>
            </w:r>
            <w:r>
              <w:rPr>
                <w:sz w:val="18"/>
                <w:szCs w:val="18"/>
                <w:lang w:val="en-US"/>
              </w:rPr>
              <w:t xml:space="preserve"> </w:t>
            </w:r>
            <w:r>
              <w:rPr>
                <w:position w:val="-10"/>
                <w:sz w:val="18"/>
                <w:szCs w:val="18"/>
              </w:rPr>
              <w:object w:dxaOrig="7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0" o:spid="_x0000_s190" type="#_x0000_t75" style="width:37.45pt;height:14.15pt;mso-wrap-distance-left:0.00pt;mso-wrap-distance-top:0.00pt;mso-wrap-distance-right:0.00pt;mso-wrap-distance-bottom:0.00pt;" filled="f" stroked="f">
                  <v:path textboxrect="0,0,0,0"/>
                  <v:imagedata r:id="rId395" o:title=""/>
                </v:shape>
                <o:OLEObject DrawAspect="Content" r:id="rId396" ObjectID="_152504190" ProgID="Equation.3" ShapeID="_x0000_i190" Type="Embed"/>
              </w:object>
            </w:r>
            <w:r>
              <w:rPr>
                <w:sz w:val="18"/>
                <w:szCs w:val="18"/>
                <w:lang w:val="en-US"/>
              </w:rPr>
              <w:t xml:space="preserve">[</w:t>
            </w:r>
            <w:r>
              <w:rPr>
                <w:sz w:val="18"/>
                <w:szCs w:val="18"/>
              </w:rPr>
              <w:t xml:space="preserve">МВт</w:t>
            </w:r>
            <w:r>
              <w:rPr>
                <w:sz w:val="18"/>
                <w:szCs w:val="18"/>
                <w:lang w:val="en-US"/>
              </w:rPr>
              <w:t xml:space="preserve">]</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443"/>
        </w:trPr>
        <w:tc>
          <w:tcPr>
            <w:tcW w:w="523" w:type="dxa"/>
            <w:vAlign w:val="center"/>
          </w:tcPr>
          <w:p>
            <w:pPr>
              <w:jc w:val="center"/>
              <w:rPr>
                <w:sz w:val="20"/>
                <w:szCs w:val="20"/>
                <w:lang w:val="en-US"/>
              </w:rPr>
            </w:pPr>
            <w:r>
              <w:rPr>
                <w:sz w:val="20"/>
                <w:szCs w:val="20"/>
                <w:lang w:val="en-US"/>
              </w:rPr>
              <w:t xml:space="preserve">7</w:t>
            </w:r>
          </w:p>
        </w:tc>
        <w:tc>
          <w:tcPr>
            <w:tcW w:w="2020" w:type="dxa"/>
          </w:tcPr>
          <w:p>
            <w:pPr>
              <w:rPr>
                <w:sz w:val="20"/>
                <w:szCs w:val="20"/>
              </w:rPr>
            </w:pPr>
          </w:p>
        </w:tc>
        <w:tc>
          <w:tcPr>
            <w:tcW w:w="4371" w:type="dxa"/>
            <w:tcMar>
              <w:left w:w="108" w:type="dxa"/>
              <w:top w:w="0" w:type="dxa"/>
              <w:right w:w="108" w:type="dxa"/>
              <w:bottom w:w="0" w:type="dxa"/>
            </w:tcMar>
            <w:vAlign w:val="center"/>
          </w:tcPr>
          <w:p>
            <w:pPr>
              <w:spacing w:line="226" w:lineRule="auto"/>
              <w:rPr>
                <w:sz w:val="18"/>
                <w:szCs w:val="18"/>
              </w:rPr>
            </w:pPr>
            <w:r>
              <w:rPr>
                <w:sz w:val="18"/>
                <w:szCs w:val="18"/>
              </w:rPr>
              <w:t xml:space="preserve">Величина недопоставки мощности </w:t>
            </w:r>
            <w:r>
              <w:rPr>
                <w:sz w:val="18"/>
                <w:szCs w:val="18"/>
                <w:lang w:val="en-US"/>
              </w:rPr>
              <w:t xml:space="preserve">[</w:t>
            </w:r>
            <w:r>
              <w:rPr>
                <w:sz w:val="18"/>
                <w:szCs w:val="18"/>
              </w:rPr>
              <w:t xml:space="preserve">МВт</w:t>
            </w:r>
            <w:r>
              <w:rPr>
                <w:sz w:val="18"/>
                <w:szCs w:val="18"/>
                <w:lang w:val="en-US"/>
              </w:rPr>
              <w:t xml:space="preserve">]</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r>
        <w:trPr>
          <w:trHeight w:val="106"/>
        </w:trPr>
        <w:tc>
          <w:tcPr>
            <w:tcW w:w="523" w:type="dxa"/>
            <w:vAlign w:val="center"/>
          </w:tcPr>
          <w:p>
            <w:pPr>
              <w:jc w:val="center"/>
              <w:rPr>
                <w:sz w:val="20"/>
                <w:szCs w:val="20"/>
                <w:lang w:val="en-US"/>
              </w:rPr>
            </w:pPr>
            <w:r>
              <w:rPr>
                <w:sz w:val="20"/>
                <w:szCs w:val="20"/>
                <w:lang w:val="en-US"/>
              </w:rPr>
              <w:t xml:space="preserve">8</w:t>
            </w:r>
          </w:p>
        </w:tc>
        <w:tc>
          <w:tcPr>
            <w:tcW w:w="2020" w:type="dxa"/>
          </w:tcPr>
          <w:p>
            <w:pPr>
              <w:rPr>
                <w:sz w:val="20"/>
                <w:szCs w:val="20"/>
              </w:rPr>
            </w:pPr>
          </w:p>
        </w:tc>
        <w:tc>
          <w:tcPr>
            <w:tcW w:w="4371" w:type="dxa"/>
            <w:tcMar>
              <w:left w:w="108" w:type="dxa"/>
              <w:top w:w="0" w:type="dxa"/>
              <w:right w:w="108" w:type="dxa"/>
              <w:bottom w:w="0" w:type="dxa"/>
            </w:tcMar>
            <w:vAlign w:val="center"/>
          </w:tcPr>
          <w:p>
            <w:pPr>
              <w:spacing w:line="226" w:lineRule="auto"/>
              <w:rPr>
                <w:sz w:val="18"/>
                <w:szCs w:val="18"/>
              </w:rPr>
            </w:pPr>
            <w:r>
              <w:rPr>
                <w:sz w:val="18"/>
                <w:szCs w:val="18"/>
              </w:rPr>
              <w:t xml:space="preserve">Ущерб от недопоставки мощности [тыс. руб.]</w:t>
            </w:r>
          </w:p>
        </w:tc>
        <w:tc>
          <w:tcPr>
            <w:tcW w:w="1269"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243" w:type="dxa"/>
          </w:tcPr>
          <w:p>
            <w:pPr>
              <w:rPr>
                <w:rFonts w:eastAsia="Calibri"/>
                <w:color w:val="1f497d"/>
                <w:sz w:val="20"/>
                <w:szCs w:val="20"/>
                <w:lang w:eastAsia="en-US"/>
              </w:rPr>
            </w:pPr>
          </w:p>
        </w:tc>
        <w:tc>
          <w:tcPr>
            <w:tcW w:w="1294" w:type="dxa"/>
          </w:tcPr>
          <w:p>
            <w:pPr>
              <w:rPr>
                <w:rFonts w:eastAsia="Calibri"/>
                <w:color w:val="1f497d"/>
                <w:sz w:val="20"/>
                <w:szCs w:val="20"/>
                <w:lang w:eastAsia="en-US"/>
              </w:rPr>
            </w:pPr>
          </w:p>
        </w:tc>
        <w:tc>
          <w:tcPr>
            <w:tcW w:w="1128" w:type="dxa"/>
          </w:tcPr>
          <w:p>
            <w:pPr>
              <w:rPr>
                <w:rFonts w:eastAsia="Calibri"/>
                <w:color w:val="1f497d"/>
                <w:sz w:val="20"/>
                <w:szCs w:val="20"/>
                <w:lang w:eastAsia="en-US"/>
              </w:rPr>
            </w:pPr>
          </w:p>
        </w:tc>
        <w:tc>
          <w:tcPr>
            <w:tcW w:w="1552" w:type="dxa"/>
          </w:tcPr>
          <w:p>
            <w:pPr>
              <w:rPr>
                <w:rFonts w:eastAsia="Calibri"/>
                <w:color w:val="1f497d"/>
                <w:sz w:val="20"/>
                <w:szCs w:val="20"/>
                <w:lang w:eastAsia="en-US"/>
              </w:rPr>
            </w:pPr>
          </w:p>
        </w:tc>
      </w:tr>
    </w:tbl>
    <w:p>
      <w:pPr>
        <w:ind w:left="1" w:hanging="427"/>
        <w:rPr>
          <w:bCs/>
          <w:sz w:val="18"/>
          <w:szCs w:val="18"/>
        </w:rPr>
      </w:pPr>
      <w:r>
        <w:rPr>
          <w:bCs/>
          <w:sz w:val="18"/>
          <w:szCs w:val="18"/>
        </w:rPr>
        <w:t xml:space="preserve">Примечание к таблице 2:</w:t>
      </w:r>
    </w:p>
    <w:p>
      <w:pPr>
        <w:ind w:left="1" w:hanging="427"/>
        <w:rPr>
          <w:bCs/>
          <w:sz w:val="18"/>
          <w:szCs w:val="18"/>
        </w:rPr>
      </w:pPr>
    </w:p>
    <w:tbl>
      <w:tblPr>
        <w:tblW w:w="15286" w:type="dxa"/>
        <w:tblInd w:w="-318" w:type="dxa"/>
        <w:tblLayout w:type="fixed"/>
        <w:tblLook w:val="00A0" w:firstRow="1" w:lastRow="0" w:firstColumn="1" w:lastColumn="0" w:noHBand="0" w:noVBand="0"/>
      </w:tblPr>
      <w:tblGrid>
        <w:gridCol w:w="2159"/>
        <w:gridCol w:w="13127"/>
      </w:tblGrid>
      <w:tr>
        <w:trPr>
          <w:trHeight w:val="20"/>
        </w:trPr>
        <w:tc>
          <w:tcPr>
            <w:tcW w:w="2159" w:type="dxa"/>
            <w:vAlign w:val="center"/>
          </w:tcPr>
          <w:p>
            <w:pPr>
              <w:spacing w:line="226" w:lineRule="auto"/>
              <w:rPr>
                <w:sz w:val="16"/>
                <w:szCs w:val="16"/>
              </w:rPr>
            </w:pPr>
            <w:r>
              <w:rPr>
                <w:b/>
                <w:bCs/>
                <w:i/>
                <w:position w:val="-30"/>
                <w:sz w:val="16"/>
                <w:szCs w:val="16"/>
              </w:rPr>
              <w:object w:dxaOrig="166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1" o:spid="_x0000_s191" type="#_x0000_t75" style="width:72.85pt;height:24.55pt;mso-wrap-distance-left:0.00pt;mso-wrap-distance-top:0.00pt;mso-wrap-distance-right:0.00pt;mso-wrap-distance-bottom:0.00pt;" filled="f" stroked="f">
                  <v:path textboxrect="0,0,0,0"/>
                  <v:imagedata r:id="rId397" o:title=""/>
                </v:shape>
                <o:OLEObject DrawAspect="Content" r:id="rId398" ObjectID="_152504191" ProgID="Equation.3" ShapeID="_x0000_i191" Type="Embed"/>
              </w:object>
            </w:r>
          </w:p>
        </w:tc>
        <w:tc>
          <w:tcPr>
            <w:tcW w:w="13127" w:type="dxa"/>
            <w:vAlign w:val="center"/>
          </w:tcPr>
          <w:p>
            <w:pPr>
              <w:spacing w:line="226" w:lineRule="auto"/>
              <w:rPr>
                <w:sz w:val="16"/>
                <w:szCs w:val="16"/>
              </w:rPr>
            </w:pPr>
            <w:r>
              <w:rPr>
                <w:sz w:val="16"/>
                <w:szCs w:val="16"/>
              </w:rPr>
              <w:t xml:space="preserve">- удельный ущерб (к приведённой установленной мощности) [тыс. руб./МВт], </w:t>
            </w:r>
          </w:p>
          <w:p>
            <w:pPr>
              <w:spacing w:line="226" w:lineRule="auto"/>
              <w:rPr>
                <w:sz w:val="16"/>
                <w:szCs w:val="16"/>
              </w:rPr>
            </w:pPr>
            <w:r>
              <w:rPr>
                <w:sz w:val="16"/>
                <w:szCs w:val="16"/>
              </w:rPr>
              <w:t xml:space="preserve">      где </w:t>
            </w:r>
            <w:r>
              <w:rPr>
                <w:position w:val="-10"/>
                <w:sz w:val="16"/>
                <w:szCs w:val="16"/>
              </w:rPr>
              <w:object w:dxaOrig="76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2" o:spid="_x0000_s192" type="#_x0000_t75" style="width:37.45pt;height:14.15pt;mso-wrap-distance-left:0.00pt;mso-wrap-distance-top:0.00pt;mso-wrap-distance-right:0.00pt;mso-wrap-distance-bottom:0.00pt;" filled="f" stroked="f">
                  <v:path textboxrect="0,0,0,0"/>
                  <v:imagedata r:id="rId399" o:title=""/>
                </v:shape>
                <o:OLEObject DrawAspect="Content" r:id="rId400" ObjectID="_152504192" ProgID="Equation.3" ShapeID="_x0000_i192" Type="Embed"/>
              </w:object>
            </w:r>
            <w:r>
              <w:rPr>
                <w:sz w:val="16"/>
                <w:szCs w:val="16"/>
              </w:rPr>
              <w:t xml:space="preserve">- средняя за период приведенная установленная мощность (электрическая и тепловая, </w:t>
            </w:r>
            <w:r>
              <w:rPr>
                <w:sz w:val="16"/>
                <w:szCs w:val="16"/>
                <w:lang w:val="en-US"/>
              </w:rPr>
              <w:t xml:space="preserve">N</w:t>
            </w:r>
            <w:r>
              <w:rPr>
                <w:sz w:val="16"/>
                <w:szCs w:val="16"/>
              </w:rPr>
              <w:t xml:space="preserve">=МВт+ Гкал/ч*1,1628), МВт.</w:t>
            </w:r>
          </w:p>
        </w:tc>
      </w:tr>
      <w:tr>
        <w:trPr>
          <w:trHeight w:val="20"/>
        </w:trPr>
        <w:tc>
          <w:tcPr>
            <w:tcW w:w="2159" w:type="dxa"/>
            <w:vAlign w:val="center"/>
          </w:tcPr>
          <w:p>
            <w:pPr>
              <w:spacing w:line="226" w:lineRule="auto"/>
              <w:rPr>
                <w:b/>
                <w:bCs/>
                <w:i/>
                <w:sz w:val="16"/>
                <w:szCs w:val="16"/>
              </w:rPr>
            </w:pPr>
            <w:r>
              <w:rPr>
                <w:b/>
                <w:bCs/>
                <w:i/>
                <w:position w:val="-30"/>
                <w:sz w:val="16"/>
                <w:szCs w:val="16"/>
              </w:rPr>
              <w:object w:dxaOrig="178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3" o:spid="_x0000_s193" type="#_x0000_t75" style="width:72.00pt;height:29.15pt;mso-wrap-distance-left:0.00pt;mso-wrap-distance-top:0.00pt;mso-wrap-distance-right:0.00pt;mso-wrap-distance-bottom:0.00pt;" filled="f" stroked="f">
                  <v:path textboxrect="0,0,0,0"/>
                  <v:imagedata r:id="rId401" o:title=""/>
                </v:shape>
                <o:OLEObject DrawAspect="Content" r:id="rId402" ObjectID="_152504193" ProgID="Equation.3" ShapeID="_x0000_i193" Type="Embed"/>
              </w:object>
            </w:r>
          </w:p>
        </w:tc>
        <w:tc>
          <w:tcPr>
            <w:tcW w:w="13127" w:type="dxa"/>
            <w:vAlign w:val="center"/>
          </w:tcPr>
          <w:p>
            <w:pPr>
              <w:spacing w:line="226" w:lineRule="auto"/>
              <w:rPr>
                <w:sz w:val="16"/>
                <w:szCs w:val="16"/>
              </w:rPr>
            </w:pPr>
            <w:r>
              <w:rPr>
                <w:sz w:val="16"/>
                <w:szCs w:val="16"/>
              </w:rPr>
              <w:t xml:space="preserve">- удельный ущерб (к приведённой располагаемой мощности) [тыс. руб./МВт], </w:t>
            </w:r>
          </w:p>
          <w:p>
            <w:pPr>
              <w:spacing w:line="226" w:lineRule="auto"/>
              <w:rPr>
                <w:b/>
                <w:bCs/>
                <w:i/>
                <w:sz w:val="16"/>
                <w:szCs w:val="16"/>
              </w:rPr>
            </w:pPr>
            <w:r>
              <w:rPr>
                <w:sz w:val="16"/>
                <w:szCs w:val="16"/>
              </w:rPr>
              <w:t xml:space="preserve">       где </w:t>
            </w:r>
            <w:r>
              <w:rPr>
                <w:position w:val="-10"/>
                <w:sz w:val="16"/>
                <w:szCs w:val="16"/>
              </w:rPr>
              <w:object w:dxaOrig="8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4" o:spid="_x0000_s194" type="#_x0000_t75" style="width:38.70pt;height:14.15pt;mso-wrap-distance-left:0.00pt;mso-wrap-distance-top:0.00pt;mso-wrap-distance-right:0.00pt;mso-wrap-distance-bottom:0.00pt;" filled="f" stroked="f">
                  <v:path textboxrect="0,0,0,0"/>
                  <v:imagedata r:id="rId403" o:title=""/>
                </v:shape>
                <o:OLEObject DrawAspect="Content" r:id="rId404" ObjectID="_152504194" ProgID="Equation.3" ShapeID="_x0000_i194" Type="Embed"/>
              </w:object>
            </w:r>
            <w:r>
              <w:rPr>
                <w:sz w:val="16"/>
                <w:szCs w:val="16"/>
              </w:rPr>
              <w:t xml:space="preserve">- средняя за период приведенная располагаемая мощность (электрическая и тепловая, </w:t>
            </w:r>
            <w:r>
              <w:rPr>
                <w:sz w:val="16"/>
                <w:szCs w:val="16"/>
                <w:lang w:val="en-US"/>
              </w:rPr>
              <w:t xml:space="preserve">N</w:t>
            </w:r>
            <w:r>
              <w:rPr>
                <w:sz w:val="16"/>
                <w:szCs w:val="16"/>
              </w:rPr>
              <w:t xml:space="preserve">=МВт+ Гкал/ч*1,1628), МВт.</w:t>
            </w:r>
          </w:p>
        </w:tc>
      </w:tr>
      <w:tr>
        <w:trPr>
          <w:trHeight w:val="20"/>
        </w:trPr>
        <w:tc>
          <w:tcPr>
            <w:tcW w:w="2159" w:type="dxa"/>
            <w:vAlign w:val="center"/>
          </w:tcPr>
          <w:p>
            <w:pPr>
              <w:spacing w:line="226" w:lineRule="auto"/>
              <w:rPr>
                <w:b/>
                <w:bCs/>
                <w:i/>
                <w:sz w:val="16"/>
                <w:szCs w:val="16"/>
              </w:rPr>
            </w:pPr>
            <w:r>
              <w:rPr>
                <w:b/>
                <w:bCs/>
                <w:i/>
                <w:position w:val="-30"/>
                <w:sz w:val="16"/>
                <w:szCs w:val="16"/>
              </w:rPr>
              <w:object w:dxaOrig="1640" w:dyaOrig="68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5" o:spid="_x0000_s195" type="#_x0000_t75" style="width:65.35pt;height:29.15pt;mso-wrap-distance-left:0.00pt;mso-wrap-distance-top:0.00pt;mso-wrap-distance-right:0.00pt;mso-wrap-distance-bottom:0.00pt;" filled="f" stroked="f">
                  <v:path textboxrect="0,0,0,0"/>
                  <v:imagedata r:id="rId405" o:title=""/>
                </v:shape>
                <o:OLEObject DrawAspect="Content" r:id="rId406" ObjectID="_152504195" ProgID="Equation.3" ShapeID="_x0000_i195" Type="Embed"/>
              </w:object>
            </w:r>
          </w:p>
        </w:tc>
        <w:tc>
          <w:tcPr>
            <w:tcW w:w="13127" w:type="dxa"/>
            <w:vAlign w:val="center"/>
          </w:tcPr>
          <w:p>
            <w:pPr>
              <w:spacing w:line="226" w:lineRule="auto"/>
              <w:rPr>
                <w:sz w:val="16"/>
                <w:szCs w:val="16"/>
              </w:rPr>
            </w:pPr>
          </w:p>
          <w:p>
            <w:pPr>
              <w:spacing w:line="226" w:lineRule="auto"/>
              <w:rPr>
                <w:sz w:val="16"/>
                <w:szCs w:val="16"/>
              </w:rPr>
            </w:pPr>
            <w:r>
              <w:rPr>
                <w:sz w:val="16"/>
                <w:szCs w:val="16"/>
              </w:rPr>
              <w:t xml:space="preserve">- удельный ущерб (к приведённой рабочей мощности) [тыс. руб./МВт], </w:t>
            </w:r>
          </w:p>
          <w:p>
            <w:pPr>
              <w:spacing w:line="226" w:lineRule="auto"/>
              <w:rPr>
                <w:b/>
                <w:bCs/>
                <w:i/>
                <w:sz w:val="16"/>
                <w:szCs w:val="16"/>
              </w:rPr>
            </w:pPr>
            <w:r>
              <w:rPr>
                <w:sz w:val="16"/>
                <w:szCs w:val="16"/>
              </w:rPr>
              <w:t xml:space="preserve">       где </w:t>
            </w:r>
            <w:r>
              <w:rPr>
                <w:position w:val="-10"/>
                <w:sz w:val="16"/>
                <w:szCs w:val="16"/>
              </w:rPr>
              <w:object w:dxaOrig="740" w:dyaOrig="320">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6" o:spid="_x0000_s196" type="#_x0000_t75" style="width:37.45pt;height:14.15pt;mso-wrap-distance-left:0.00pt;mso-wrap-distance-top:0.00pt;mso-wrap-distance-right:0.00pt;mso-wrap-distance-bottom:0.00pt;" filled="f" stroked="f">
                  <v:path textboxrect="0,0,0,0"/>
                  <v:imagedata r:id="rId407" o:title=""/>
                </v:shape>
                <o:OLEObject DrawAspect="Content" r:id="rId408" ObjectID="_152504196" ProgID="Equation.3" ShapeID="_x0000_i196" Type="Embed"/>
              </w:object>
            </w:r>
            <w:r>
              <w:rPr>
                <w:sz w:val="16"/>
                <w:szCs w:val="16"/>
              </w:rPr>
              <w:t xml:space="preserve">- средняя за период приведенная рабочая мощность (электрическая и тепловая, </w:t>
            </w:r>
            <w:r>
              <w:rPr>
                <w:sz w:val="16"/>
                <w:szCs w:val="16"/>
                <w:lang w:val="en-US"/>
              </w:rPr>
              <w:t xml:space="preserve">N</w:t>
            </w:r>
            <w:r>
              <w:rPr>
                <w:sz w:val="16"/>
                <w:szCs w:val="16"/>
              </w:rPr>
              <w:t xml:space="preserve">=МВт+ Гкал/ч*1,1628), МВт.</w:t>
            </w:r>
          </w:p>
        </w:tc>
      </w:tr>
    </w:tbl>
    <w:p>
      <w:pPr>
        <w:jc w:val="both"/>
        <w:rPr>
          <w:b/>
          <w:bCs/>
        </w:rPr>
      </w:pPr>
    </w:p>
    <w:p>
      <w:pPr>
        <w:jc w:val="both"/>
        <w:rPr>
          <w:b/>
          <w:bCs/>
        </w:rPr>
        <w:sectPr>
          <w:footnotePr>
            <w:numFmt w:val="chicago"/>
            <w:numRestart w:val="eachSect"/>
          </w:footnotePr>
          <w:pgSz w:w="16838" w:h="11906" w:orient="landscape"/>
          <w:pgMar w:top="1276" w:right="737" w:bottom="568" w:left="1701" w:header="765" w:footer="709" w:gutter="0"/>
          <w:cols w:space="708"/>
          <w:docGrid w:linePitch="360"/>
          <w:titlePg/>
        </w:sectPr>
      </w:pPr>
    </w:p>
    <w:p>
      <w:pPr>
        <w:pStyle w:val="1"/>
        <w:numPr>
          <w:numId w:val="38"/>
          <w:ilvl w:val="1"/>
        </w:numPr>
        <w:ind w:left="0" w:firstLine="0"/>
        <w:jc w:val="both"/>
        <w:rPr>
          <w:bCs w:val="0"/>
        </w:rPr>
      </w:pPr>
      <w:bookmarkStart w:id="209" w:name="_Toc10707098"/>
      <w:r>
        <w:rPr>
          <w:bCs w:val="0"/>
        </w:rPr>
        <w:t xml:space="preserve">Приложение 3. Форма представления данных по </w:t>
      </w:r>
      <w:r>
        <w:rPr>
          <w:bCs w:val="0"/>
        </w:rPr>
        <w:t xml:space="preserve">повреждениям</w:t>
      </w:r>
      <w:r>
        <w:rPr>
          <w:bCs w:val="0"/>
        </w:rPr>
        <w:t xml:space="preserve">, произошедшим при проведении ремонтов и испытаний</w:t>
      </w:r>
      <w:bookmarkEnd w:id="209"/>
    </w:p>
    <w:p/>
    <w:p>
      <w:r>
        <mc:AlternateContent>
          <mc:Choice Requires="wpg">
            <w:drawing>
              <wp:inline xmlns:wp="http://schemas.openxmlformats.org/drawingml/2006/wordprocessingDrawing" distT="0" distB="0" distL="0" distR="0">
                <wp:extent cx="6009640" cy="1341120"/>
                <wp:effectExtent l="0" t="0" r="0" b="0"/>
                <wp:docPr id="19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r/>
                      </pic:nvPicPr>
                      <pic:blipFill>
                        <a:blip r:embed="rId409">
                          <a:extLst>
                            <a:ext uri="{96DAC541-7B7A-43D3-8B79-37D633B846F1}">
                              <asvg:svgBlip xmlns:asvg="http://schemas.microsoft.com/office/drawing/2016/SVG/main" r:embed="rId410"/>
                            </a:ext>
                          </a:extLst>
                        </a:blip>
                        <a:srcRect/>
                        <a:stretch/>
                      </pic:blipFill>
                      <pic:spPr bwMode="auto">
                        <a:xfrm>
                          <a:off x="0" y="0"/>
                          <a:ext cx="6060876" cy="1352554"/>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7" o:spid="_x0000_s197" type="#_x0000_t75" style="width:473.20pt;height:105.60pt;mso-wrap-distance-left:0.00pt;mso-wrap-distance-top:0.00pt;mso-wrap-distance-right:0.00pt;mso-wrap-distance-bottom:0.00pt;" stroked="f">
                <v:path textboxrect="0,0,0,0"/>
                <v:imagedata r:id="rId409" o:title=""/>
              </v:shape>
            </w:pict>
          </mc:Fallback>
        </mc:AlternateContent>
      </w:r>
    </w:p>
    <w:bookmarkStart w:id="210" w:name="_MON_1620038466"/>
    <w:bookmarkEnd w:id="210"/>
    <w:p>
      <w:r>
        <w:rPr>
          <w:highlight w:val="lightGray"/>
        </w:rPr>
        <w:object w:dxaOrig="1614" w:dyaOrig="1044">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8" o:spid="_x0000_s198" type="#_x0000_t75" style="width:44.95pt;height:21.65pt;mso-wrap-distance-left:0.00pt;mso-wrap-distance-top:0.00pt;mso-wrap-distance-right:0.00pt;mso-wrap-distance-bottom:0.00pt;" filled="f" stroked="f">
            <v:path textboxrect="0,0,0,0"/>
            <v:imagedata r:id="rId411" o:title=""/>
          </v:shape>
          <o:OLEObject DrawAspect="Icon" r:id="rId412" ObjectID="_152504198" ProgID="Excel.Sheet.12" ShapeID="_x0000_i198" Type="Embed"/>
        </w:object>
      </w:r>
    </w:p>
    <w:p>
      <w:pPr>
        <w:tabs>
          <w:tab w:val="left" w:pos="-709"/>
        </w:tabs>
        <w:spacing w:line="276" w:lineRule="auto"/>
        <w:rPr>
          <w:bCs/>
          <w:sz w:val="18"/>
          <w:szCs w:val="18"/>
          <w:lang w:val="en-US"/>
        </w:rPr>
      </w:pPr>
      <w:r>
        <w:rPr>
          <w:bCs/>
          <w:sz w:val="18"/>
          <w:szCs w:val="18"/>
        </w:rPr>
        <w:t xml:space="preserve">Примечание к таблице приложения 3:</w:t>
      </w:r>
      <w:r>
        <w:t xml:space="preserve"> </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стлб.3 – выбирается наименование филиала/энергообъекта из всплывающего списка:</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стлб.4 – указывается краткие обстоятельства, сведения (в том числе о повреждениях и последствиях), технические причины.</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стлб.4 – указывается диспетчерское наименование оборудования/участок, где произошло повреждение.</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стлб.6 – указывается тип поврежденного/отказавшего оборудования (выбирается необходимый критерий из всплывающего списка НСИ): </w:t>
      </w:r>
      <w:r>
        <w:rPr>
          <w:bCs/>
          <w:i/>
          <w:sz w:val="16"/>
          <w:szCs w:val="16"/>
        </w:rPr>
        <w:t xml:space="preserve">ПН (поверхность нагрева); </w:t>
      </w:r>
      <w:r>
        <w:rPr>
          <w:i/>
          <w:color w:val="000000"/>
          <w:sz w:val="16"/>
          <w:szCs w:val="16"/>
        </w:rPr>
        <w:t xml:space="preserve">Трубопроводы/Маслопроводы/Водоводы/Дренаж; Арматура/СК/РК/ПК; Кабели силовые/</w:t>
      </w:r>
      <w:r>
        <w:rPr>
          <w:i/>
          <w:color w:val="000000"/>
          <w:sz w:val="16"/>
          <w:szCs w:val="16"/>
        </w:rPr>
        <w:t xml:space="preserve">Шинопроводы</w:t>
      </w:r>
      <w:r>
        <w:rPr>
          <w:i/>
          <w:color w:val="000000"/>
          <w:sz w:val="16"/>
          <w:szCs w:val="16"/>
        </w:rPr>
        <w:t xml:space="preserve">/Изоляторы/Контакторы; Кабели контрольно-измерительные; Устройства РЗА/ПАА; Устройства ТАИ/ТЗ; Устройства АСУТП; СДТУ; ВВ; (воздушные выключатели), ЭВ; ВМ; Разъединители ОРУ/ОСИ/Ошиновка/ОПН/Разрядник; ТН/ТТ; Турбина/Турбинное оборудование; </w:t>
      </w:r>
      <w:r>
        <w:rPr>
          <w:i/>
          <w:color w:val="000000"/>
          <w:sz w:val="16"/>
          <w:szCs w:val="16"/>
        </w:rPr>
        <w:t xml:space="preserve">Газ.хоз</w:t>
      </w:r>
      <w:r>
        <w:rPr>
          <w:i/>
          <w:color w:val="000000"/>
          <w:sz w:val="16"/>
          <w:szCs w:val="16"/>
        </w:rPr>
        <w:t xml:space="preserve">-во/</w:t>
      </w:r>
      <w:r>
        <w:rPr>
          <w:i/>
          <w:color w:val="000000"/>
          <w:sz w:val="16"/>
          <w:szCs w:val="16"/>
        </w:rPr>
        <w:t xml:space="preserve">Топл.оборуд</w:t>
      </w:r>
      <w:r>
        <w:rPr>
          <w:i/>
          <w:color w:val="000000"/>
          <w:sz w:val="16"/>
          <w:szCs w:val="16"/>
        </w:rPr>
        <w:t xml:space="preserve">.; </w:t>
      </w:r>
      <w:r>
        <w:rPr>
          <w:i/>
          <w:color w:val="000000"/>
          <w:sz w:val="16"/>
          <w:szCs w:val="16"/>
        </w:rPr>
        <w:t xml:space="preserve">ЗиС</w:t>
      </w:r>
      <w:r>
        <w:rPr>
          <w:i/>
          <w:color w:val="000000"/>
          <w:sz w:val="16"/>
          <w:szCs w:val="16"/>
        </w:rPr>
        <w:t xml:space="preserve">; ГТС; ДС/ДВ/ТДМ/РВП/ВГД/ВПВ; </w:t>
      </w:r>
      <w:r>
        <w:rPr>
          <w:i/>
          <w:color w:val="000000"/>
          <w:sz w:val="16"/>
          <w:szCs w:val="16"/>
        </w:rPr>
        <w:t xml:space="preserve">ПитНас</w:t>
      </w:r>
      <w:r>
        <w:rPr>
          <w:i/>
          <w:color w:val="000000"/>
          <w:sz w:val="16"/>
          <w:szCs w:val="16"/>
        </w:rPr>
        <w:t xml:space="preserve">/БН/ЦН/КЭН; МТС (магистральные тепловые сети); РТС (распределительные и квартальные тепловые сети); </w:t>
      </w:r>
      <w:r>
        <w:rPr>
          <w:i/>
          <w:color w:val="000000"/>
          <w:sz w:val="16"/>
          <w:szCs w:val="16"/>
        </w:rPr>
        <w:t xml:space="preserve">ГоУФ</w:t>
      </w:r>
      <w:r>
        <w:rPr>
          <w:i/>
          <w:color w:val="000000"/>
          <w:sz w:val="16"/>
          <w:szCs w:val="16"/>
        </w:rPr>
        <w:t xml:space="preserve"> (горелочные устройства, форсунки); газоходы/дымовые трубы; </w:t>
      </w:r>
      <w:r>
        <w:rPr>
          <w:i/>
          <w:color w:val="000000"/>
          <w:sz w:val="16"/>
          <w:szCs w:val="16"/>
        </w:rPr>
        <w:t xml:space="preserve">Мельн</w:t>
      </w:r>
      <w:r>
        <w:rPr>
          <w:i/>
          <w:color w:val="000000"/>
          <w:sz w:val="16"/>
          <w:szCs w:val="16"/>
        </w:rPr>
        <w:t xml:space="preserve">/</w:t>
      </w:r>
      <w:r>
        <w:rPr>
          <w:i/>
          <w:color w:val="000000"/>
          <w:sz w:val="16"/>
          <w:szCs w:val="16"/>
        </w:rPr>
        <w:t xml:space="preserve">Угольн</w:t>
      </w:r>
      <w:r>
        <w:rPr>
          <w:i/>
          <w:color w:val="000000"/>
          <w:sz w:val="16"/>
          <w:szCs w:val="16"/>
        </w:rPr>
        <w:t xml:space="preserve">.; Обор/</w:t>
      </w:r>
      <w:r>
        <w:rPr>
          <w:i/>
          <w:color w:val="000000"/>
          <w:sz w:val="16"/>
          <w:szCs w:val="16"/>
        </w:rPr>
        <w:t xml:space="preserve">Золошлак</w:t>
      </w:r>
      <w:r>
        <w:rPr>
          <w:i/>
          <w:color w:val="000000"/>
          <w:sz w:val="16"/>
          <w:szCs w:val="16"/>
        </w:rPr>
        <w:t xml:space="preserve">; ПВД/ПНД/</w:t>
      </w:r>
      <w:r>
        <w:rPr>
          <w:i/>
          <w:color w:val="000000"/>
          <w:sz w:val="16"/>
          <w:szCs w:val="16"/>
        </w:rPr>
        <w:t xml:space="preserve">Конд</w:t>
      </w:r>
      <w:r>
        <w:rPr>
          <w:i/>
          <w:color w:val="000000"/>
          <w:sz w:val="16"/>
          <w:szCs w:val="16"/>
        </w:rPr>
        <w:t xml:space="preserve">/</w:t>
      </w:r>
      <w:r>
        <w:rPr>
          <w:i/>
          <w:color w:val="000000"/>
          <w:sz w:val="16"/>
          <w:szCs w:val="16"/>
        </w:rPr>
        <w:t xml:space="preserve">Деаэр</w:t>
      </w:r>
      <w:r>
        <w:rPr>
          <w:i/>
          <w:color w:val="000000"/>
          <w:sz w:val="16"/>
          <w:szCs w:val="16"/>
        </w:rPr>
        <w:t xml:space="preserve">/БРОУ; Система возбуждения; КРУ/КРУЭ.</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стлб.7 – указывается наименование и место повреждения (прямой участок, между ТК, на сварном шве, по основному металлу, по фланцевому соединению и т.д.) </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стлб.8,9 – дата и время события указывается московское, значения заполняются в формате «13.03.2019 16:02:00».</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стлб.10 – указывается один наиболее характерный код по виду оборудования, значения заполняются в формате «3.3.1».</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стлб.11 – могут указываться несколько классификационных кодов в одну строку, через запятую, далее пробел, например: «4.2, 4.7». </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стлб.12,16. – указывается «да» или «нет» (выбирается из всплывающего списка).</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стлб.13. – указывается срок службы.</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стлб.14. – выбирается необходимый критерий из всплывающего списка НСИ (Квартальные/ Магистральные/ ГВС/ Источники).</w:t>
      </w:r>
    </w:p>
    <w:p>
      <w:pPr>
        <w:pStyle w:val="aff4"/>
        <w:numPr>
          <w:numId w:val="40"/>
          <w:ilvl w:val="0"/>
        </w:numPr>
        <w:tabs>
          <w:tab w:val="left" w:pos="-851"/>
          <w:tab w:val="left" w:pos="0"/>
          <w:tab w:val="left" w:pos="284"/>
        </w:tabs>
        <w:spacing w:line="276" w:lineRule="auto"/>
        <w:ind w:left="0" w:right="-201" w:firstLine="0"/>
        <w:rPr>
          <w:bCs/>
          <w:sz w:val="16"/>
          <w:szCs w:val="16"/>
        </w:rPr>
      </w:pPr>
      <w:r>
        <w:rPr>
          <w:bCs/>
          <w:sz w:val="16"/>
          <w:szCs w:val="16"/>
        </w:rPr>
        <w:t xml:space="preserve">к стлб.15. – выбирается необходимый критерий из всплывающего списка НСИ (Арендованные/ Собственные).</w:t>
      </w:r>
    </w:p>
    <w:p/>
    <w:p/>
    <w:p>
      <w:pPr>
        <w:pStyle w:val="1"/>
        <w:numPr>
          <w:numId w:val="38"/>
          <w:ilvl w:val="1"/>
        </w:numPr>
        <w:ind w:left="0" w:firstLine="0"/>
        <w:jc w:val="both"/>
        <w:rPr>
          <w:bCs w:val="0"/>
        </w:rPr>
      </w:pPr>
      <w:bookmarkStart w:id="211" w:name="_Toc10707099"/>
      <w:r>
        <w:rPr>
          <w:bCs w:val="0"/>
        </w:rPr>
        <w:t xml:space="preserve">Приложение 4. </w:t>
      </w:r>
      <w:r>
        <w:t xml:space="preserve">Рекомендуемая форма</w:t>
      </w:r>
      <w:r>
        <w:rPr>
          <w:rStyle w:val="a6"/>
        </w:rPr>
        <w:footnoteReference w:id="6"/>
      </w:r>
      <w:r>
        <w:t xml:space="preserve"> акта расследования причин аварий и нарушений в работе энергооборудования (корпоративный учет)</w:t>
      </w:r>
      <w:bookmarkEnd w:id="211"/>
    </w:p>
    <w:p>
      <w:pPr>
        <w:pStyle w:val="aff9"/>
        <w:jc w:val="center"/>
        <w:rPr>
          <w:rFonts w:ascii="Times New Roman" w:hAnsi="Times New Roman"/>
          <w:b/>
          <w:color w:val="auto"/>
          <w:sz w:val="24"/>
          <w:szCs w:val="24"/>
        </w:rPr>
      </w:pPr>
    </w:p>
    <w:p>
      <w:pPr>
        <w:jc w:val="center"/>
      </w:pPr>
      <w:r>
        <w:rPr>
          <w:b/>
        </w:rPr>
        <w:t xml:space="preserve">АКТ №_____</w:t>
      </w:r>
      <w:r>
        <w:rPr>
          <w:b/>
        </w:rPr>
        <w:br/>
        <w:t xml:space="preserve">РАССЛЕДОВАНИЯ ПРИЧИН АВАРИЙ/ НАРУШЕНИЯ В РАБОТЕ ЭНЕРГООБОРУДОВАНИЯ, ПРОИЗОШЕДШЕГО ___________ ГОДА</w:t>
      </w:r>
    </w:p>
    <w:p>
      <w:pPr>
        <w:spacing w:before="120"/>
        <w:jc w:val="both"/>
      </w:pPr>
      <w:r>
        <w:rPr>
          <w:b/>
        </w:rPr>
        <w:t xml:space="preserve">1. Общие сведения</w:t>
      </w:r>
    </w:p>
    <w:p>
      <w:pPr>
        <w:jc w:val="both"/>
      </w:pPr>
      <w:r>
        <w:t xml:space="preserve">1.1. Организация (филиал, обособленное структурное подразделение)</w:t>
      </w:r>
    </w:p>
    <w:tbl>
      <w:tblPr>
        <w:tblW w:w="5064" w:type="pct"/>
        <w:tblInd w:w="-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8068"/>
        <w:gridCol w:w="1505"/>
      </w:tblGrid>
      <w:tr>
        <w:tc>
          <w:tcPr>
            <w:tcW w:w="4214" w:type="pct"/>
            <w:vAlign w:val="center"/>
          </w:tcPr>
          <w:p>
            <w:pPr>
              <w:jc w:val="center"/>
              <w:rPr>
                <w:sz w:val="20"/>
              </w:rPr>
            </w:pPr>
            <w:r>
              <w:rPr>
                <w:b/>
                <w:sz w:val="20"/>
              </w:rPr>
              <w:t xml:space="preserve">Наименование организации</w:t>
            </w:r>
          </w:p>
        </w:tc>
        <w:tc>
          <w:tcPr>
            <w:tcW w:w="786" w:type="pct"/>
            <w:vAlign w:val="center"/>
          </w:tcPr>
          <w:p>
            <w:pPr>
              <w:jc w:val="center"/>
              <w:rPr>
                <w:sz w:val="20"/>
              </w:rPr>
            </w:pPr>
            <w:r>
              <w:rPr>
                <w:b/>
                <w:sz w:val="20"/>
              </w:rPr>
              <w:t xml:space="preserve">Субъект</w:t>
            </w:r>
          </w:p>
        </w:tc>
      </w:tr>
      <w:tr>
        <w:tc>
          <w:tcPr>
            <w:tcW w:w="4214" w:type="pct"/>
            <w:tcMar>
              <w:left w:w="45" w:type="dxa"/>
              <w:right w:w="45" w:type="dxa"/>
            </w:tcMar>
            <w:vAlign w:val="center"/>
          </w:tcPr>
          <w:p>
            <w:pPr>
              <w:jc w:val="both"/>
            </w:pPr>
          </w:p>
        </w:tc>
        <w:tc>
          <w:tcPr>
            <w:tcW w:w="786" w:type="pct"/>
            <w:tcMar>
              <w:left w:w="45" w:type="dxa"/>
              <w:right w:w="45" w:type="dxa"/>
            </w:tcMar>
            <w:vAlign w:val="center"/>
          </w:tcPr>
          <w:p>
            <w:pPr>
              <w:jc w:val="both"/>
            </w:pPr>
          </w:p>
        </w:tc>
      </w:tr>
    </w:tbl>
    <w:p>
      <w:pPr>
        <w:spacing w:before="120"/>
        <w:jc w:val="both"/>
      </w:pPr>
      <w:r>
        <w:t xml:space="preserve">1.2. Дата и время возникновения аварии/нарушения: ______ (</w:t>
      </w:r>
      <w:r>
        <w:t xml:space="preserve">мск</w:t>
      </w:r>
      <w:r>
        <w:t xml:space="preserve">.), _____ (мест.)</w:t>
      </w:r>
    </w:p>
    <w:p>
      <w:pPr>
        <w:spacing w:before="120"/>
        <w:jc w:val="both"/>
      </w:pPr>
      <w:r>
        <w:t xml:space="preserve">1.3. Учетные признаки аварии (только «для БА»)</w:t>
      </w:r>
    </w:p>
    <w:tbl>
      <w:tblPr>
        <w:tblW w:w="5056" w:type="pct"/>
        <w:tblInd w:w="-9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648"/>
        <w:gridCol w:w="7375"/>
        <w:gridCol w:w="1535"/>
      </w:tblGrid>
      <w:tr>
        <w:tc>
          <w:tcPr>
            <w:tcW w:w="339" w:type="pct"/>
            <w:vAlign w:val="center"/>
          </w:tcPr>
          <w:p>
            <w:pPr>
              <w:jc w:val="center"/>
              <w:rPr>
                <w:sz w:val="20"/>
              </w:rPr>
            </w:pPr>
            <w:r>
              <w:rPr>
                <w:b/>
                <w:sz w:val="20"/>
              </w:rPr>
              <w:t xml:space="preserve">Код</w:t>
            </w:r>
          </w:p>
        </w:tc>
        <w:tc>
          <w:tcPr>
            <w:tcW w:w="3858" w:type="pct"/>
            <w:vAlign w:val="center"/>
          </w:tcPr>
          <w:p>
            <w:pPr>
              <w:jc w:val="center"/>
              <w:rPr>
                <w:sz w:val="20"/>
              </w:rPr>
            </w:pPr>
            <w:r>
              <w:rPr>
                <w:b/>
                <w:sz w:val="20"/>
              </w:rPr>
              <w:t xml:space="preserve">Содержание учетного признака</w:t>
            </w:r>
          </w:p>
        </w:tc>
        <w:tc>
          <w:tcPr>
            <w:tcW w:w="803" w:type="pct"/>
            <w:vAlign w:val="center"/>
          </w:tcPr>
          <w:p>
            <w:pPr>
              <w:jc w:val="center"/>
              <w:rPr>
                <w:sz w:val="20"/>
              </w:rPr>
            </w:pPr>
            <w:r>
              <w:rPr>
                <w:b/>
                <w:sz w:val="20"/>
              </w:rPr>
              <w:t xml:space="preserve">Организация</w:t>
            </w:r>
          </w:p>
        </w:tc>
      </w:tr>
      <w:tr>
        <w:tc>
          <w:tcPr>
            <w:tcW w:w="339" w:type="pct"/>
            <w:tcMar>
              <w:left w:w="45" w:type="dxa"/>
              <w:right w:w="45" w:type="dxa"/>
            </w:tcMar>
            <w:vAlign w:val="center"/>
          </w:tcPr>
          <w:p>
            <w:pPr>
              <w:jc w:val="both"/>
            </w:pPr>
          </w:p>
        </w:tc>
        <w:tc>
          <w:tcPr>
            <w:tcW w:w="3858" w:type="pct"/>
            <w:tcMar>
              <w:left w:w="45" w:type="dxa"/>
              <w:right w:w="45" w:type="dxa"/>
            </w:tcMar>
            <w:vAlign w:val="center"/>
          </w:tcPr>
          <w:p>
            <w:pPr>
              <w:jc w:val="both"/>
            </w:pPr>
          </w:p>
        </w:tc>
        <w:tc>
          <w:tcPr>
            <w:tcW w:w="803" w:type="pct"/>
            <w:tcMar>
              <w:left w:w="45" w:type="dxa"/>
              <w:right w:w="45" w:type="dxa"/>
            </w:tcMar>
            <w:vAlign w:val="center"/>
          </w:tcPr>
          <w:p>
            <w:pPr>
              <w:jc w:val="both"/>
            </w:pPr>
          </w:p>
        </w:tc>
      </w:tr>
    </w:tbl>
    <w:p>
      <w:pPr>
        <w:spacing w:before="120"/>
        <w:jc w:val="both"/>
      </w:pPr>
      <w:r>
        <w:t xml:space="preserve">1.4. Классификация видов оборудования и устройств</w:t>
      </w:r>
    </w:p>
    <w:tbl>
      <w:tblPr>
        <w:tblW w:w="5074" w:type="pct"/>
        <w:tblInd w:w="-1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683"/>
        <w:gridCol w:w="7420"/>
        <w:gridCol w:w="1489"/>
      </w:tblGrid>
      <w:tr>
        <w:tc>
          <w:tcPr>
            <w:tcW w:w="356" w:type="pct"/>
            <w:vAlign w:val="center"/>
          </w:tcPr>
          <w:p>
            <w:pPr>
              <w:jc w:val="center"/>
              <w:rPr>
                <w:sz w:val="20"/>
              </w:rPr>
            </w:pPr>
            <w:r>
              <w:rPr>
                <w:b/>
                <w:sz w:val="20"/>
              </w:rPr>
              <w:t xml:space="preserve">Код</w:t>
            </w:r>
          </w:p>
        </w:tc>
        <w:tc>
          <w:tcPr>
            <w:tcW w:w="3868" w:type="pct"/>
            <w:vAlign w:val="center"/>
          </w:tcPr>
          <w:p>
            <w:pPr>
              <w:jc w:val="center"/>
              <w:rPr>
                <w:sz w:val="20"/>
              </w:rPr>
            </w:pPr>
            <w:r>
              <w:rPr>
                <w:b/>
                <w:sz w:val="20"/>
              </w:rPr>
              <w:t xml:space="preserve">Наименование вида оборудования (устройств)</w:t>
            </w:r>
          </w:p>
        </w:tc>
        <w:tc>
          <w:tcPr>
            <w:tcW w:w="776" w:type="pct"/>
            <w:vAlign w:val="center"/>
          </w:tcPr>
          <w:p>
            <w:pPr>
              <w:jc w:val="center"/>
              <w:rPr>
                <w:sz w:val="20"/>
              </w:rPr>
            </w:pPr>
            <w:r>
              <w:rPr>
                <w:b/>
                <w:sz w:val="20"/>
              </w:rPr>
              <w:t xml:space="preserve">Организация</w:t>
            </w:r>
          </w:p>
        </w:tc>
      </w:tr>
      <w:tr>
        <w:tc>
          <w:tcPr>
            <w:tcW w:w="356" w:type="pct"/>
            <w:tcMar>
              <w:left w:w="45" w:type="dxa"/>
              <w:right w:w="45" w:type="dxa"/>
            </w:tcMar>
            <w:vAlign w:val="center"/>
          </w:tcPr>
          <w:p>
            <w:pPr>
              <w:jc w:val="both"/>
            </w:pPr>
          </w:p>
        </w:tc>
        <w:tc>
          <w:tcPr>
            <w:tcW w:w="3868" w:type="pct"/>
            <w:tcMar>
              <w:left w:w="45" w:type="dxa"/>
              <w:right w:w="45" w:type="dxa"/>
            </w:tcMar>
            <w:vAlign w:val="center"/>
          </w:tcPr>
          <w:p>
            <w:pPr>
              <w:jc w:val="both"/>
            </w:pPr>
          </w:p>
        </w:tc>
        <w:tc>
          <w:tcPr>
            <w:tcW w:w="776" w:type="pct"/>
            <w:tcMar>
              <w:left w:w="45" w:type="dxa"/>
              <w:right w:w="45" w:type="dxa"/>
            </w:tcMar>
            <w:vAlign w:val="center"/>
          </w:tcPr>
          <w:p>
            <w:pPr>
              <w:jc w:val="both"/>
            </w:pPr>
          </w:p>
        </w:tc>
      </w:tr>
    </w:tbl>
    <w:p>
      <w:pPr>
        <w:spacing w:before="120"/>
        <w:jc w:val="both"/>
      </w:pPr>
      <w:r>
        <w:t xml:space="preserve">1.5. Классификационные признаки причин нарушения</w:t>
      </w:r>
    </w:p>
    <w:tbl>
      <w:tblPr>
        <w:tblW w:w="5072" w:type="pct"/>
        <w:tblInd w:w="-12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683"/>
        <w:gridCol w:w="7375"/>
        <w:gridCol w:w="1530"/>
      </w:tblGrid>
      <w:tr>
        <w:tc>
          <w:tcPr>
            <w:tcW w:w="356" w:type="pct"/>
            <w:vAlign w:val="center"/>
          </w:tcPr>
          <w:p>
            <w:pPr>
              <w:jc w:val="center"/>
              <w:rPr>
                <w:sz w:val="20"/>
              </w:rPr>
            </w:pPr>
            <w:r>
              <w:rPr>
                <w:b/>
                <w:sz w:val="20"/>
              </w:rPr>
              <w:t xml:space="preserve">Код</w:t>
            </w:r>
          </w:p>
        </w:tc>
        <w:tc>
          <w:tcPr>
            <w:tcW w:w="3846" w:type="pct"/>
            <w:vAlign w:val="center"/>
          </w:tcPr>
          <w:p>
            <w:pPr>
              <w:jc w:val="center"/>
              <w:rPr>
                <w:sz w:val="20"/>
              </w:rPr>
            </w:pPr>
            <w:r>
              <w:rPr>
                <w:b/>
                <w:sz w:val="20"/>
              </w:rPr>
              <w:t xml:space="preserve">Наименование организационной причины нарушения</w:t>
            </w:r>
          </w:p>
        </w:tc>
        <w:tc>
          <w:tcPr>
            <w:tcW w:w="0" w:type="auto"/>
            <w:vAlign w:val="center"/>
          </w:tcPr>
          <w:p>
            <w:pPr>
              <w:jc w:val="center"/>
              <w:rPr>
                <w:sz w:val="20"/>
              </w:rPr>
            </w:pPr>
            <w:r>
              <w:rPr>
                <w:b/>
                <w:sz w:val="20"/>
              </w:rPr>
              <w:t xml:space="preserve">Организация</w:t>
            </w:r>
          </w:p>
        </w:tc>
      </w:tr>
      <w:tr>
        <w:tc>
          <w:tcPr>
            <w:tcW w:w="356" w:type="pct"/>
            <w:vAlign w:val="center"/>
          </w:tcPr>
          <w:p>
            <w:pPr>
              <w:jc w:val="center"/>
              <w:rPr>
                <w:b/>
              </w:rPr>
            </w:pPr>
          </w:p>
        </w:tc>
        <w:tc>
          <w:tcPr>
            <w:tcW w:w="3846" w:type="pct"/>
            <w:vAlign w:val="center"/>
          </w:tcPr>
          <w:p>
            <w:pPr>
              <w:jc w:val="center"/>
              <w:rPr>
                <w:b/>
              </w:rPr>
            </w:pPr>
          </w:p>
        </w:tc>
        <w:tc>
          <w:tcPr>
            <w:tcW w:w="0" w:type="auto"/>
            <w:vAlign w:val="center"/>
          </w:tcPr>
          <w:p>
            <w:pPr>
              <w:jc w:val="center"/>
              <w:rPr>
                <w:b/>
              </w:rPr>
            </w:pPr>
          </w:p>
        </w:tc>
      </w:tr>
      <w:tr>
        <w:tc>
          <w:tcPr>
            <w:tcW w:w="356" w:type="pct"/>
            <w:vAlign w:val="center"/>
          </w:tcPr>
          <w:p>
            <w:pPr>
              <w:jc w:val="center"/>
              <w:rPr>
                <w:sz w:val="20"/>
              </w:rPr>
            </w:pPr>
            <w:r>
              <w:rPr>
                <w:b/>
                <w:sz w:val="20"/>
              </w:rPr>
              <w:t xml:space="preserve">Код</w:t>
            </w:r>
          </w:p>
        </w:tc>
        <w:tc>
          <w:tcPr>
            <w:tcW w:w="3846" w:type="pct"/>
            <w:vAlign w:val="center"/>
          </w:tcPr>
          <w:p>
            <w:pPr>
              <w:jc w:val="center"/>
              <w:rPr>
                <w:sz w:val="20"/>
              </w:rPr>
            </w:pPr>
            <w:r>
              <w:rPr>
                <w:b/>
                <w:sz w:val="20"/>
              </w:rPr>
              <w:t xml:space="preserve">Наименование технической причины повреждений оборудования</w:t>
            </w:r>
          </w:p>
        </w:tc>
        <w:tc>
          <w:tcPr>
            <w:tcW w:w="0" w:type="auto"/>
            <w:vAlign w:val="center"/>
          </w:tcPr>
          <w:p>
            <w:pPr>
              <w:jc w:val="center"/>
              <w:rPr>
                <w:sz w:val="20"/>
              </w:rPr>
            </w:pPr>
            <w:r>
              <w:rPr>
                <w:b/>
                <w:sz w:val="20"/>
              </w:rPr>
              <w:t xml:space="preserve">Организация</w:t>
            </w:r>
          </w:p>
        </w:tc>
      </w:tr>
      <w:tr>
        <w:tc>
          <w:tcPr>
            <w:tcW w:w="356" w:type="pct"/>
            <w:tcMar>
              <w:left w:w="45" w:type="dxa"/>
              <w:right w:w="45" w:type="dxa"/>
            </w:tcMar>
            <w:vAlign w:val="center"/>
          </w:tcPr>
          <w:p>
            <w:pPr>
              <w:jc w:val="both"/>
            </w:pPr>
          </w:p>
        </w:tc>
        <w:tc>
          <w:tcPr>
            <w:tcW w:w="3846" w:type="pct"/>
            <w:tcMar>
              <w:left w:w="45" w:type="dxa"/>
              <w:right w:w="45" w:type="dxa"/>
            </w:tcMar>
            <w:vAlign w:val="center"/>
          </w:tcPr>
          <w:p>
            <w:pPr>
              <w:jc w:val="both"/>
            </w:pPr>
          </w:p>
        </w:tc>
        <w:tc>
          <w:tcPr>
            <w:tcW w:w="0" w:type="auto"/>
            <w:tcMar>
              <w:left w:w="45" w:type="dxa"/>
              <w:right w:w="45" w:type="dxa"/>
            </w:tcMar>
            <w:vAlign w:val="center"/>
          </w:tcPr>
          <w:p>
            <w:pPr>
              <w:jc w:val="both"/>
            </w:pPr>
          </w:p>
        </w:tc>
      </w:tr>
    </w:tbl>
    <w:p>
      <w:pPr>
        <w:spacing w:before="120"/>
        <w:ind w:right="-171"/>
        <w:jc w:val="both"/>
      </w:pPr>
      <w:r>
        <w:t xml:space="preserve">1.6. Дата и время ликвидации аварийного режима /устранения нарушения: __(</w:t>
      </w:r>
      <w:r>
        <w:t xml:space="preserve">мск</w:t>
      </w:r>
      <w:r>
        <w:t xml:space="preserve">.), __ (мест.)</w:t>
      </w:r>
    </w:p>
    <w:p>
      <w:pPr>
        <w:spacing w:before="120"/>
        <w:jc w:val="both"/>
      </w:pPr>
      <w:r>
        <w:rPr>
          <w:b/>
        </w:rPr>
        <w:t xml:space="preserve">2. Описательный блок</w:t>
      </w:r>
    </w:p>
    <w:p>
      <w:pPr>
        <w:spacing w:line="233" w:lineRule="auto"/>
        <w:jc w:val="both"/>
      </w:pPr>
      <w:r>
        <w:t xml:space="preserve">2.1. Описание состояния и режима работы объектов электроэнергетики и (или) энергопринимающих установок до возникновения аварии/нарушения. /Описание состояния: _________</w:t>
      </w:r>
    </w:p>
    <w:p>
      <w:pPr>
        <w:jc w:val="both"/>
      </w:pPr>
      <w:r>
        <w:t xml:space="preserve">___________________________________________________________</w:t>
      </w:r>
    </w:p>
    <w:p>
      <w:pPr>
        <w:spacing w:line="233" w:lineRule="auto"/>
        <w:jc w:val="both"/>
      </w:pPr>
      <w:r>
        <w:t xml:space="preserve">2.2. Описание состояния и режима работы объектов электроэнергетики и (или) энергопринимающих установок во время аварии / Описание обстоятельств нарушения:__________________________________________________________________________________________________________________________________________________2.3. Описание выявленных в ходе расследования нарушений требований нормативных правовых актов в области электроэнергетики, в том числе установленных норм и правил эксплуатации объектов электроэнергетики и энергопринимающих установок, а также технических регламентов/ регламентов оптового рынка электроэнергии и мощности, ЛНА:</w:t>
      </w:r>
    </w:p>
    <w:tbl>
      <w:tblPr>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2534"/>
        <w:gridCol w:w="3152"/>
        <w:gridCol w:w="2195"/>
        <w:gridCol w:w="1571"/>
      </w:tblGrid>
      <w:tr>
        <w:tc>
          <w:tcPr>
            <w:tcW w:w="0" w:type="auto"/>
            <w:vAlign w:val="center"/>
          </w:tcPr>
          <w:p>
            <w:pPr>
              <w:jc w:val="center"/>
              <w:rPr>
                <w:sz w:val="20"/>
              </w:rPr>
            </w:pPr>
            <w:r>
              <w:rPr>
                <w:b/>
                <w:sz w:val="20"/>
              </w:rPr>
              <w:t xml:space="preserve">Описание нарушения</w:t>
            </w:r>
          </w:p>
        </w:tc>
        <w:tc>
          <w:tcPr>
            <w:tcW w:w="0" w:type="auto"/>
            <w:vAlign w:val="center"/>
          </w:tcPr>
          <w:p>
            <w:pPr>
              <w:jc w:val="center"/>
              <w:rPr>
                <w:sz w:val="20"/>
              </w:rPr>
            </w:pPr>
            <w:r>
              <w:rPr>
                <w:b/>
                <w:sz w:val="20"/>
              </w:rPr>
              <w:t xml:space="preserve">Наименование НПА (НТД)</w:t>
            </w:r>
          </w:p>
        </w:tc>
        <w:tc>
          <w:tcPr>
            <w:tcW w:w="0" w:type="auto"/>
            <w:vAlign w:val="center"/>
          </w:tcPr>
          <w:p>
            <w:pPr>
              <w:jc w:val="center"/>
              <w:rPr>
                <w:sz w:val="20"/>
              </w:rPr>
            </w:pPr>
            <w:r>
              <w:rPr>
                <w:b/>
                <w:sz w:val="20"/>
              </w:rPr>
              <w:t xml:space="preserve">Пункт НПА (НТД)</w:t>
            </w:r>
          </w:p>
        </w:tc>
        <w:tc>
          <w:tcPr>
            <w:tcW w:w="0" w:type="auto"/>
            <w:vAlign w:val="center"/>
          </w:tcPr>
          <w:p>
            <w:pPr>
              <w:jc w:val="center"/>
              <w:rPr>
                <w:sz w:val="20"/>
              </w:rPr>
            </w:pPr>
            <w:r>
              <w:rPr>
                <w:b/>
                <w:sz w:val="20"/>
              </w:rPr>
              <w:t xml:space="preserve">Организация</w:t>
            </w:r>
          </w:p>
        </w:tc>
      </w:tr>
      <w:tr>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r>
    </w:tbl>
    <w:p>
      <w:pPr>
        <w:spacing w:before="120"/>
        <w:jc w:val="both"/>
      </w:pPr>
      <w:r>
        <w:t xml:space="preserve">2.4. Причины возникновения аварии и ее развития/ Причины возникновения нарушения в работе энергооборудования и ее развитие и (или) возникновения события:</w:t>
      </w:r>
    </w:p>
    <w:tbl>
      <w:tblPr>
        <w:tblW w:w="5000" w:type="pc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8493"/>
        <w:gridCol w:w="959"/>
      </w:tblGrid>
      <w:tr>
        <w:tc>
          <w:tcPr>
            <w:tcW w:w="0" w:type="auto"/>
            <w:vAlign w:val="center"/>
          </w:tcPr>
          <w:p>
            <w:pPr>
              <w:jc w:val="center"/>
              <w:rPr>
                <w:sz w:val="20"/>
              </w:rPr>
            </w:pPr>
            <w:r>
              <w:rPr>
                <w:b/>
                <w:sz w:val="20"/>
              </w:rPr>
              <w:t xml:space="preserve">Описание организационных причин</w:t>
            </w:r>
          </w:p>
        </w:tc>
        <w:tc>
          <w:tcPr>
            <w:tcW w:w="0" w:type="auto"/>
            <w:vAlign w:val="center"/>
          </w:tcPr>
          <w:p>
            <w:pPr>
              <w:jc w:val="center"/>
              <w:rPr>
                <w:sz w:val="20"/>
              </w:rPr>
            </w:pPr>
            <w:r>
              <w:rPr>
                <w:b/>
                <w:sz w:val="20"/>
              </w:rPr>
              <w:t xml:space="preserve">Код</w:t>
            </w:r>
          </w:p>
        </w:tc>
      </w:tr>
      <w:tr>
        <w:trPr>
          <w:trHeight w:val="73"/>
        </w:trPr>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r>
      <w:tr>
        <w:tc>
          <w:tcPr>
            <w:tcW w:w="0" w:type="auto"/>
            <w:vAlign w:val="center"/>
          </w:tcPr>
          <w:p>
            <w:pPr>
              <w:jc w:val="center"/>
              <w:rPr>
                <w:sz w:val="20"/>
              </w:rPr>
            </w:pPr>
            <w:r>
              <w:rPr>
                <w:b/>
                <w:sz w:val="20"/>
              </w:rPr>
              <w:t xml:space="preserve">Описание технических причин</w:t>
            </w:r>
          </w:p>
        </w:tc>
        <w:tc>
          <w:tcPr>
            <w:tcW w:w="0" w:type="auto"/>
            <w:vAlign w:val="center"/>
          </w:tcPr>
          <w:p>
            <w:pPr>
              <w:jc w:val="center"/>
              <w:rPr>
                <w:sz w:val="20"/>
              </w:rPr>
            </w:pPr>
            <w:r>
              <w:rPr>
                <w:b/>
                <w:sz w:val="20"/>
              </w:rPr>
              <w:t xml:space="preserve">Код</w:t>
            </w:r>
          </w:p>
        </w:tc>
      </w:tr>
      <w:tr>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r>
    </w:tbl>
    <w:p>
      <w:pPr>
        <w:spacing w:before="120"/>
        <w:jc w:val="both"/>
      </w:pPr>
      <w:r>
        <w:t xml:space="preserve">2.5. Перечень и описание повреждения оборудования (устройств) объектов электроэнергетики и (или) энергопринимающих установок:</w:t>
      </w:r>
    </w:p>
    <w:p>
      <w:pPr>
        <w:pBdr>
          <w:bottom w:val="single" w:color="auto" w:sz="12" w:space="1"/>
        </w:pBdr>
        <w:spacing w:line="233" w:lineRule="auto"/>
        <w:jc w:val="both"/>
      </w:pPr>
      <w:r>
        <w:t xml:space="preserve">2.6. Описание выявленных в ходе расследования недостатков эксплуатации, проекта, конструкции, изготовления, строительства, монтажа оборудования (устройств), явившихся предпосылками нарушения или затруднивших ее ликвидацию/Описание действий персонала и должностных лиц субъектов или объектов электроэнергетики и подрядных организаций, послуживших предпосылками и (или) причинами возникновения нарушения:</w:t>
      </w:r>
    </w:p>
    <w:p>
      <w:pPr>
        <w:spacing w:before="120"/>
        <w:jc w:val="both"/>
      </w:pPr>
      <w:r>
        <w:rPr>
          <w:b/>
        </w:rPr>
        <w:t xml:space="preserve">3. Противоаварийные мероприятия</w:t>
      </w:r>
      <w:r>
        <w:t xml:space="preserve">/</w:t>
      </w:r>
      <w:r>
        <w:rPr>
          <w:b/>
        </w:rPr>
        <w:t xml:space="preserve">Мероприятия по исключению ошибок при подаче диспетчерских заявок и уведомлений </w:t>
      </w:r>
    </w:p>
    <w:p>
      <w:pPr>
        <w:jc w:val="both"/>
      </w:pPr>
      <w:r>
        <w:t xml:space="preserve">3.1. Технические мероприятия:</w:t>
      </w:r>
    </w:p>
    <w:tbl>
      <w:tblPr>
        <w:tblW w:w="5064" w:type="pct"/>
        <w:tblInd w:w="-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929"/>
        <w:gridCol w:w="3921"/>
        <w:gridCol w:w="2699"/>
        <w:gridCol w:w="2024"/>
      </w:tblGrid>
      <w:tr>
        <w:tc>
          <w:tcPr>
            <w:tcW w:w="0" w:type="auto"/>
            <w:vAlign w:val="center"/>
          </w:tcPr>
          <w:p>
            <w:pPr>
              <w:jc w:val="center"/>
              <w:rPr>
                <w:sz w:val="20"/>
              </w:rPr>
            </w:pPr>
            <w:r>
              <w:rPr>
                <w:b/>
                <w:sz w:val="20"/>
              </w:rPr>
              <w:t xml:space="preserve">№ п/п</w:t>
            </w:r>
          </w:p>
        </w:tc>
        <w:tc>
          <w:tcPr>
            <w:tcW w:w="0" w:type="auto"/>
            <w:vAlign w:val="center"/>
          </w:tcPr>
          <w:p>
            <w:pPr>
              <w:jc w:val="center"/>
              <w:rPr>
                <w:sz w:val="20"/>
              </w:rPr>
            </w:pPr>
            <w:r>
              <w:rPr>
                <w:b/>
                <w:sz w:val="20"/>
              </w:rPr>
              <w:t xml:space="preserve">Содержание мероприятия</w:t>
            </w:r>
          </w:p>
        </w:tc>
        <w:tc>
          <w:tcPr>
            <w:tcW w:w="0" w:type="auto"/>
            <w:vAlign w:val="center"/>
          </w:tcPr>
          <w:p>
            <w:pPr>
              <w:jc w:val="center"/>
              <w:rPr>
                <w:sz w:val="20"/>
              </w:rPr>
            </w:pPr>
            <w:r>
              <w:rPr>
                <w:b/>
                <w:sz w:val="20"/>
              </w:rPr>
              <w:t xml:space="preserve">Дата выполнения</w:t>
            </w:r>
          </w:p>
        </w:tc>
        <w:tc>
          <w:tcPr>
            <w:tcW w:w="0" w:type="auto"/>
            <w:vAlign w:val="center"/>
          </w:tcPr>
          <w:p>
            <w:pPr>
              <w:jc w:val="center"/>
              <w:rPr>
                <w:sz w:val="20"/>
              </w:rPr>
            </w:pPr>
            <w:r>
              <w:rPr>
                <w:b/>
                <w:sz w:val="20"/>
              </w:rPr>
              <w:t xml:space="preserve">Организация</w:t>
            </w:r>
          </w:p>
        </w:tc>
      </w:tr>
      <w:tr>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r>
    </w:tbl>
    <w:p>
      <w:pPr>
        <w:spacing w:before="120"/>
        <w:jc w:val="both"/>
      </w:pPr>
      <w:r>
        <w:t xml:space="preserve">3.2. Организационные мероприятия:</w:t>
      </w:r>
    </w:p>
    <w:tbl>
      <w:tblPr>
        <w:tblW w:w="5032" w:type="pct"/>
        <w:tblInd w:w="-3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5" w:type="dxa"/>
          <w:top w:w="15" w:type="dxa"/>
          <w:right w:w="15" w:type="dxa"/>
          <w:bottom w:w="15" w:type="dxa"/>
        </w:tblCellMar>
        <w:tblLook w:val="04A0" w:firstRow="1" w:lastRow="0" w:firstColumn="1" w:lastColumn="0" w:noHBand="0" w:noVBand="1"/>
      </w:tblPr>
      <w:tblGrid>
        <w:gridCol w:w="923"/>
        <w:gridCol w:w="3896"/>
        <w:gridCol w:w="2682"/>
        <w:gridCol w:w="2011"/>
      </w:tblGrid>
      <w:tr>
        <w:tc>
          <w:tcPr>
            <w:tcW w:w="0" w:type="auto"/>
            <w:vAlign w:val="center"/>
          </w:tcPr>
          <w:p>
            <w:pPr>
              <w:jc w:val="center"/>
              <w:rPr>
                <w:sz w:val="20"/>
              </w:rPr>
            </w:pPr>
            <w:r>
              <w:rPr>
                <w:b/>
                <w:sz w:val="20"/>
              </w:rPr>
              <w:t xml:space="preserve">№ п/п</w:t>
            </w:r>
          </w:p>
        </w:tc>
        <w:tc>
          <w:tcPr>
            <w:tcW w:w="0" w:type="auto"/>
            <w:vAlign w:val="center"/>
          </w:tcPr>
          <w:p>
            <w:pPr>
              <w:jc w:val="center"/>
              <w:rPr>
                <w:sz w:val="20"/>
              </w:rPr>
            </w:pPr>
            <w:r>
              <w:rPr>
                <w:b/>
                <w:sz w:val="20"/>
              </w:rPr>
              <w:t xml:space="preserve">Содержание мероприятия</w:t>
            </w:r>
          </w:p>
        </w:tc>
        <w:tc>
          <w:tcPr>
            <w:tcW w:w="0" w:type="auto"/>
            <w:vAlign w:val="center"/>
          </w:tcPr>
          <w:p>
            <w:pPr>
              <w:jc w:val="center"/>
              <w:rPr>
                <w:sz w:val="20"/>
              </w:rPr>
            </w:pPr>
            <w:r>
              <w:rPr>
                <w:b/>
                <w:sz w:val="20"/>
              </w:rPr>
              <w:t xml:space="preserve">Дата выполнения</w:t>
            </w:r>
          </w:p>
        </w:tc>
        <w:tc>
          <w:tcPr>
            <w:tcW w:w="0" w:type="auto"/>
            <w:vAlign w:val="center"/>
          </w:tcPr>
          <w:p>
            <w:pPr>
              <w:jc w:val="center"/>
              <w:rPr>
                <w:sz w:val="20"/>
              </w:rPr>
            </w:pPr>
            <w:r>
              <w:rPr>
                <w:b/>
                <w:sz w:val="20"/>
              </w:rPr>
              <w:t xml:space="preserve">Организация</w:t>
            </w:r>
          </w:p>
        </w:tc>
      </w:tr>
      <w:tr>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c>
          <w:tcPr>
            <w:tcW w:w="0" w:type="auto"/>
            <w:tcMar>
              <w:left w:w="45" w:type="dxa"/>
              <w:right w:w="45" w:type="dxa"/>
            </w:tcMar>
            <w:vAlign w:val="center"/>
          </w:tcPr>
          <w:p>
            <w:pPr>
              <w:jc w:val="both"/>
            </w:pPr>
          </w:p>
        </w:tc>
      </w:tr>
    </w:tbl>
    <w:p>
      <w:pPr>
        <w:spacing w:before="120"/>
        <w:jc w:val="both"/>
        <w:rPr>
          <w:b/>
        </w:rPr>
      </w:pPr>
      <w:r>
        <w:rPr>
          <w:b/>
        </w:rPr>
        <w:t xml:space="preserve">4. Сведения о поврежденном или отказавшем тепломеханическом оборудовании</w:t>
      </w:r>
    </w:p>
    <w:p>
      <w:pPr>
        <w:spacing w:line="233" w:lineRule="auto"/>
        <w:jc w:val="both"/>
      </w:pPr>
      <w:r>
        <w:t xml:space="preserve">4.1. Диспетчерское наименование объекта: </w:t>
      </w:r>
    </w:p>
    <w:p>
      <w:pPr>
        <w:spacing w:line="233" w:lineRule="auto"/>
        <w:jc w:val="both"/>
      </w:pPr>
      <w:r>
        <w:t xml:space="preserve">4.2. Поврежденное или отказавшее оборудование:</w:t>
      </w:r>
    </w:p>
    <w:p>
      <w:pPr>
        <w:spacing w:line="233" w:lineRule="auto"/>
        <w:jc w:val="both"/>
      </w:pPr>
      <w:r>
        <w:t xml:space="preserve">4.3. Узел, деталь: </w:t>
      </w:r>
    </w:p>
    <w:p>
      <w:pPr>
        <w:spacing w:line="233" w:lineRule="auto"/>
        <w:jc w:val="both"/>
      </w:pPr>
      <w:r>
        <w:t xml:space="preserve">4.4. Марка: </w:t>
      </w:r>
    </w:p>
    <w:p>
      <w:pPr>
        <w:spacing w:line="233" w:lineRule="auto"/>
        <w:jc w:val="both"/>
      </w:pPr>
      <w:r>
        <w:t xml:space="preserve">4.5. Изготовитель оборудования: </w:t>
      </w:r>
    </w:p>
    <w:p>
      <w:pPr>
        <w:spacing w:line="233" w:lineRule="auto"/>
        <w:jc w:val="both"/>
      </w:pPr>
      <w:r>
        <w:t xml:space="preserve">4.6. Год изготовления оборудования: ________ год</w:t>
      </w:r>
    </w:p>
    <w:p>
      <w:pPr>
        <w:spacing w:line="233" w:lineRule="auto"/>
        <w:jc w:val="both"/>
      </w:pPr>
      <w:r>
        <w:t xml:space="preserve">4.7. Топливо: </w:t>
      </w:r>
    </w:p>
    <w:p>
      <w:pPr>
        <w:spacing w:line="233" w:lineRule="auto"/>
        <w:jc w:val="both"/>
      </w:pPr>
      <w:r>
        <w:t xml:space="preserve">4.8. Материал: </w:t>
      </w:r>
    </w:p>
    <w:p>
      <w:pPr>
        <w:spacing w:line="233" w:lineRule="auto"/>
        <w:jc w:val="both"/>
      </w:pPr>
      <w:r>
        <w:t xml:space="preserve">4.9. Дополнительные характеристики: </w:t>
      </w:r>
    </w:p>
    <w:p>
      <w:pPr>
        <w:spacing w:line="233" w:lineRule="auto"/>
        <w:jc w:val="both"/>
      </w:pPr>
      <w:r>
        <w:t xml:space="preserve">4.10. Характер повреждения или отказа:</w:t>
      </w:r>
    </w:p>
    <w:p>
      <w:pPr>
        <w:spacing w:line="233" w:lineRule="auto"/>
        <w:jc w:val="both"/>
      </w:pPr>
      <w:r>
        <w:t xml:space="preserve">4.11. Причина повреждения или отказа:</w:t>
      </w:r>
    </w:p>
    <w:p>
      <w:pPr>
        <w:spacing w:line="233" w:lineRule="auto"/>
        <w:jc w:val="both"/>
      </w:pPr>
      <w:r>
        <w:t xml:space="preserve">4.12. Последствия нарушения: </w:t>
      </w:r>
    </w:p>
    <w:p>
      <w:pPr>
        <w:spacing w:line="233" w:lineRule="auto"/>
        <w:jc w:val="both"/>
      </w:pPr>
      <w:r>
        <w:t xml:space="preserve">4.13. Дата включения: ___________ год</w:t>
      </w:r>
    </w:p>
    <w:p>
      <w:pPr>
        <w:spacing w:line="233" w:lineRule="auto"/>
        <w:jc w:val="both"/>
      </w:pPr>
      <w:r>
        <w:t xml:space="preserve">4.14. Время включения: ____ часов ___ минут</w:t>
      </w:r>
    </w:p>
    <w:p>
      <w:pPr>
        <w:spacing w:line="233" w:lineRule="auto"/>
        <w:jc w:val="both"/>
      </w:pPr>
      <w:r>
        <w:t xml:space="preserve">4.15. Станционный номер: </w:t>
      </w:r>
    </w:p>
    <w:p>
      <w:pPr>
        <w:spacing w:line="233" w:lineRule="auto"/>
        <w:jc w:val="both"/>
      </w:pPr>
      <w:r>
        <w:t xml:space="preserve">4.16. Продолжительность отключения: _______ часов ____ - ____на момент ____</w:t>
      </w:r>
    </w:p>
    <w:p>
      <w:pPr>
        <w:spacing w:line="233" w:lineRule="auto"/>
        <w:jc w:val="both"/>
      </w:pPr>
      <w:r>
        <w:t xml:space="preserve">завершения расследования</w:t>
      </w:r>
    </w:p>
    <w:p>
      <w:pPr>
        <w:spacing w:line="233" w:lineRule="auto"/>
        <w:jc w:val="both"/>
      </w:pPr>
      <w:r>
        <w:t xml:space="preserve">4.17. Наработка с начала эксплуатации отказавшего или поврежденного оборудования _________ часов, отказавшего узла _______часов</w:t>
      </w:r>
    </w:p>
    <w:p>
      <w:pPr>
        <w:spacing w:line="233" w:lineRule="auto"/>
        <w:jc w:val="both"/>
      </w:pPr>
      <w:r>
        <w:t xml:space="preserve">4.18. Наработка от последнего капитального ремонта ________ часов</w:t>
      </w:r>
    </w:p>
    <w:p>
      <w:pPr>
        <w:spacing w:before="120"/>
        <w:jc w:val="both"/>
        <w:rPr>
          <w:b/>
        </w:rPr>
      </w:pPr>
      <w:r>
        <w:rPr>
          <w:b/>
        </w:rPr>
        <w:t xml:space="preserve">5. Сведения о поврежденном или отказавшем электротехническом оборудовании (устройстве) электростанций и электрических сетей</w:t>
      </w:r>
    </w:p>
    <w:p>
      <w:pPr>
        <w:spacing w:line="233" w:lineRule="auto"/>
        <w:jc w:val="both"/>
      </w:pPr>
      <w:r>
        <w:t xml:space="preserve">5.1. Диспетчерское наименование объекта:</w:t>
      </w:r>
    </w:p>
    <w:p>
      <w:pPr>
        <w:spacing w:line="233" w:lineRule="auto"/>
        <w:jc w:val="both"/>
      </w:pPr>
      <w:r>
        <w:t xml:space="preserve">5.2. Поврежденное или отказавшее оборудование (устройство):</w:t>
      </w:r>
    </w:p>
    <w:p>
      <w:pPr>
        <w:spacing w:line="233" w:lineRule="auto"/>
        <w:jc w:val="both"/>
      </w:pPr>
      <w:r>
        <w:t xml:space="preserve">5.3. Марка:</w:t>
      </w:r>
    </w:p>
    <w:p>
      <w:pPr>
        <w:spacing w:line="233" w:lineRule="auto"/>
        <w:jc w:val="both"/>
      </w:pPr>
      <w:r>
        <w:t xml:space="preserve">5.4. Параметры:</w:t>
      </w:r>
    </w:p>
    <w:p>
      <w:pPr>
        <w:spacing w:line="233" w:lineRule="auto"/>
        <w:jc w:val="both"/>
      </w:pPr>
      <w:r>
        <w:t xml:space="preserve">5.5. Конструктивное напряжение:</w:t>
      </w:r>
    </w:p>
    <w:p>
      <w:pPr>
        <w:spacing w:line="233" w:lineRule="auto"/>
        <w:jc w:val="both"/>
      </w:pPr>
      <w:r>
        <w:t xml:space="preserve">5.6. Узел, деталь:</w:t>
      </w:r>
    </w:p>
    <w:p>
      <w:pPr>
        <w:spacing w:line="233" w:lineRule="auto"/>
        <w:jc w:val="both"/>
      </w:pPr>
      <w:r>
        <w:t xml:space="preserve">5.7. Тип узла, детали:</w:t>
      </w:r>
    </w:p>
    <w:p>
      <w:pPr>
        <w:spacing w:line="233" w:lineRule="auto"/>
        <w:jc w:val="both"/>
      </w:pPr>
      <w:r>
        <w:t xml:space="preserve">5.8. Количество поврежденного или отказавшего оборудования (устройств), узлов</w:t>
      </w:r>
    </w:p>
    <w:p>
      <w:pPr>
        <w:spacing w:line="233" w:lineRule="auto"/>
        <w:jc w:val="both"/>
      </w:pPr>
      <w:r>
        <w:t xml:space="preserve">5.9. Напряжение сети: ____ </w:t>
      </w:r>
      <w:r>
        <w:t xml:space="preserve">кВ.</w:t>
      </w:r>
    </w:p>
    <w:p>
      <w:pPr>
        <w:spacing w:line="233" w:lineRule="auto"/>
        <w:jc w:val="both"/>
      </w:pPr>
      <w:r>
        <w:t xml:space="preserve">5.10. Изготовитель оборудования (устройства):</w:t>
      </w:r>
    </w:p>
    <w:p>
      <w:pPr>
        <w:spacing w:line="233" w:lineRule="auto"/>
        <w:jc w:val="both"/>
      </w:pPr>
      <w:r>
        <w:t xml:space="preserve">5.11. Год изготовления оборудования (устройства):</w:t>
      </w:r>
    </w:p>
    <w:p>
      <w:pPr>
        <w:spacing w:line="233" w:lineRule="auto"/>
        <w:jc w:val="both"/>
      </w:pPr>
      <w:r>
        <w:t xml:space="preserve">5.12. Изготовитель повредившегося узла:</w:t>
      </w:r>
    </w:p>
    <w:p>
      <w:pPr>
        <w:spacing w:line="233" w:lineRule="auto"/>
        <w:jc w:val="both"/>
      </w:pPr>
      <w:r>
        <w:t xml:space="preserve">5.13. Состояние нейтрали:</w:t>
      </w:r>
    </w:p>
    <w:p>
      <w:pPr>
        <w:spacing w:line="233" w:lineRule="auto"/>
        <w:jc w:val="both"/>
      </w:pPr>
      <w:r>
        <w:t xml:space="preserve">5.14. Условия отказа оборудования (устройства):</w:t>
      </w:r>
    </w:p>
    <w:p>
      <w:pPr>
        <w:spacing w:line="233" w:lineRule="auto"/>
        <w:jc w:val="both"/>
      </w:pPr>
      <w:r>
        <w:t xml:space="preserve">5.15. Длина линии электропередачи, километр; число цепей воздушной линии, штук:</w:t>
      </w:r>
    </w:p>
    <w:p>
      <w:pPr>
        <w:spacing w:line="233" w:lineRule="auto"/>
        <w:jc w:val="both"/>
      </w:pPr>
      <w:r>
        <w:t xml:space="preserve">5.16. Материал:</w:t>
      </w:r>
    </w:p>
    <w:p>
      <w:pPr>
        <w:spacing w:line="233" w:lineRule="auto"/>
        <w:jc w:val="both"/>
      </w:pPr>
      <w:r>
        <w:t xml:space="preserve">5.17. Условия работы:</w:t>
      </w:r>
    </w:p>
    <w:p>
      <w:pPr>
        <w:spacing w:line="233" w:lineRule="auto"/>
        <w:jc w:val="both"/>
      </w:pPr>
      <w:r>
        <w:t xml:space="preserve">5.18. Характер повреждения или отказа:</w:t>
      </w:r>
    </w:p>
    <w:p>
      <w:pPr>
        <w:spacing w:line="233" w:lineRule="auto"/>
        <w:jc w:val="both"/>
      </w:pPr>
      <w:r>
        <w:t xml:space="preserve">5.19. Причины повреждения или отказа:</w:t>
      </w:r>
    </w:p>
    <w:p>
      <w:pPr>
        <w:spacing w:line="233" w:lineRule="auto"/>
        <w:jc w:val="both"/>
      </w:pPr>
      <w:r>
        <w:t xml:space="preserve">5.20. Сопутствующие обстоятельства: </w:t>
      </w:r>
    </w:p>
    <w:p>
      <w:pPr>
        <w:spacing w:line="233" w:lineRule="auto"/>
        <w:jc w:val="both"/>
      </w:pPr>
      <w:r>
        <w:t xml:space="preserve">5.21. Срок службы оборудования от последнего капитального </w:t>
      </w:r>
      <w:r>
        <w:t xml:space="preserve">ремонта:_</w:t>
      </w:r>
      <w:r>
        <w:t xml:space="preserve">____ год, от начала эксплуатации: ______ год</w:t>
      </w:r>
    </w:p>
    <w:p>
      <w:pPr>
        <w:jc w:val="both"/>
      </w:pPr>
      <w:r>
        <w:t xml:space="preserve">5.22. Срок службы поврежденного узла: _______год</w:t>
      </w:r>
    </w:p>
    <w:p>
      <w:pPr>
        <w:jc w:val="both"/>
      </w:pPr>
      <w:r>
        <w:t xml:space="preserve">5.23. Последние эксплуатационные испытания: _________ год</w:t>
      </w:r>
    </w:p>
    <w:p>
      <w:pPr>
        <w:jc w:val="both"/>
      </w:pPr>
      <w:r>
        <w:t xml:space="preserve">5.24. Продолжительность отключения: ______ часов ___ - на момент завершения расследования</w:t>
      </w:r>
    </w:p>
    <w:p>
      <w:pPr>
        <w:spacing w:before="120"/>
        <w:jc w:val="both"/>
        <w:rPr>
          <w:b/>
        </w:rPr>
      </w:pPr>
      <w:r>
        <w:rPr>
          <w:b/>
        </w:rPr>
        <w:t xml:space="preserve">6. Сведения о поврежденном или отказавшем гидроэнергетическом оборудовании</w:t>
      </w:r>
    </w:p>
    <w:p>
      <w:pPr>
        <w:spacing w:line="233" w:lineRule="auto"/>
        <w:jc w:val="both"/>
      </w:pPr>
      <w:r>
        <w:t xml:space="preserve">6.1. Диспетчерское наименование объекта:</w:t>
      </w:r>
    </w:p>
    <w:p>
      <w:pPr>
        <w:spacing w:line="233" w:lineRule="auto"/>
        <w:jc w:val="both"/>
      </w:pPr>
      <w:r>
        <w:t xml:space="preserve">6.2. Поврежденное или отказавшее оборудование:</w:t>
      </w:r>
    </w:p>
    <w:p>
      <w:pPr>
        <w:spacing w:line="233" w:lineRule="auto"/>
        <w:jc w:val="both"/>
      </w:pPr>
      <w:r>
        <w:t xml:space="preserve">6.3. Узел, деталь:</w:t>
      </w:r>
    </w:p>
    <w:p>
      <w:pPr>
        <w:spacing w:line="233" w:lineRule="auto"/>
        <w:jc w:val="both"/>
      </w:pPr>
      <w:r>
        <w:t xml:space="preserve">6.4. Марка:</w:t>
      </w:r>
    </w:p>
    <w:p>
      <w:pPr>
        <w:spacing w:line="233" w:lineRule="auto"/>
        <w:jc w:val="both"/>
      </w:pPr>
      <w:r>
        <w:t xml:space="preserve">6.5. Изготовитель оборудования:</w:t>
      </w:r>
    </w:p>
    <w:p>
      <w:pPr>
        <w:spacing w:line="233" w:lineRule="auto"/>
        <w:jc w:val="both"/>
      </w:pPr>
      <w:r>
        <w:t xml:space="preserve">6.6. Год изготовления оборудования: </w:t>
      </w:r>
    </w:p>
    <w:p>
      <w:pPr>
        <w:spacing w:line="233" w:lineRule="auto"/>
        <w:jc w:val="both"/>
      </w:pPr>
      <w:r>
        <w:t xml:space="preserve">6.7. Характер повреждения или отказа:</w:t>
      </w:r>
    </w:p>
    <w:p>
      <w:pPr>
        <w:spacing w:line="233" w:lineRule="auto"/>
        <w:jc w:val="both"/>
      </w:pPr>
      <w:r>
        <w:t xml:space="preserve">6.8. Причина повреждения или отказа:</w:t>
      </w:r>
    </w:p>
    <w:p>
      <w:pPr>
        <w:spacing w:line="233" w:lineRule="auto"/>
        <w:jc w:val="both"/>
      </w:pPr>
      <w:r>
        <w:t xml:space="preserve">6.9. Последствия нарушения: </w:t>
      </w:r>
    </w:p>
    <w:p>
      <w:pPr>
        <w:spacing w:line="233" w:lineRule="auto"/>
        <w:jc w:val="both"/>
      </w:pPr>
      <w:r>
        <w:t xml:space="preserve">6.10. Дата включения:</w:t>
      </w:r>
    </w:p>
    <w:p>
      <w:pPr>
        <w:spacing w:line="233" w:lineRule="auto"/>
        <w:jc w:val="both"/>
      </w:pPr>
      <w:r>
        <w:t xml:space="preserve">6.11. Время включения:</w:t>
      </w:r>
    </w:p>
    <w:p>
      <w:pPr>
        <w:spacing w:line="233" w:lineRule="auto"/>
        <w:jc w:val="both"/>
      </w:pPr>
      <w:r>
        <w:t xml:space="preserve">6.12. Станционный номер: </w:t>
      </w:r>
    </w:p>
    <w:p>
      <w:pPr>
        <w:spacing w:line="233" w:lineRule="auto"/>
        <w:jc w:val="both"/>
      </w:pPr>
      <w:r>
        <w:t xml:space="preserve">6.13. Продолжительность </w:t>
      </w:r>
      <w:r>
        <w:t xml:space="preserve">отключения:_</w:t>
      </w:r>
      <w:r>
        <w:t xml:space="preserve">____ часов - на момент завершения расследования</w:t>
      </w:r>
    </w:p>
    <w:p>
      <w:pPr>
        <w:spacing w:line="233" w:lineRule="auto"/>
        <w:jc w:val="both"/>
      </w:pPr>
      <w:r>
        <w:t xml:space="preserve">6.14. Наработка с начала эксплуатации поврежденного или отказавшего </w:t>
      </w:r>
      <w:r>
        <w:t xml:space="preserve">оборудования:_</w:t>
      </w:r>
      <w:r>
        <w:t xml:space="preserve">_____часов</w:t>
      </w:r>
      <w:r>
        <w:t xml:space="preserve">, отказавшего узла: _________ часов</w:t>
      </w:r>
    </w:p>
    <w:p>
      <w:pPr>
        <w:spacing w:line="233" w:lineRule="auto"/>
        <w:jc w:val="both"/>
      </w:pPr>
      <w:r>
        <w:t xml:space="preserve">6.15. Наработка от последнего капитального ремонта: _________часов</w:t>
      </w:r>
    </w:p>
    <w:p>
      <w:pPr>
        <w:pBdr>
          <w:bottom w:val="single" w:color="auto" w:sz="12" w:space="2"/>
        </w:pBdr>
        <w:spacing w:before="120"/>
        <w:jc w:val="both"/>
        <w:rPr>
          <w:b/>
        </w:rPr>
      </w:pPr>
      <w:r>
        <w:rPr>
          <w:b/>
        </w:rPr>
        <w:t xml:space="preserve">7. Описание действий оперативного персонала и должностных лиц субъектов электроэнергетики и потребителей электрической энергии, послуживших предпосылками и (или) причинами возникновения нарушения/ Описание действий оперативного персонала и должностных лиц объектов электроэнергетики и потребителей электрической энергии:</w:t>
      </w:r>
    </w:p>
    <w:p>
      <w:pPr>
        <w:pBdr>
          <w:bottom w:val="single" w:color="auto" w:sz="12" w:space="2"/>
        </w:pBdr>
        <w:spacing w:line="233" w:lineRule="auto"/>
        <w:jc w:val="both"/>
      </w:pPr>
      <w:r>
        <w:t xml:space="preserve">7.1. Место работы:</w:t>
      </w:r>
    </w:p>
    <w:p>
      <w:pPr>
        <w:pBdr>
          <w:bottom w:val="single" w:color="auto" w:sz="12" w:space="2"/>
        </w:pBdr>
        <w:spacing w:line="233" w:lineRule="auto"/>
        <w:jc w:val="both"/>
      </w:pPr>
      <w:r>
        <w:t xml:space="preserve">7.2. Должность:</w:t>
      </w:r>
    </w:p>
    <w:p>
      <w:pPr>
        <w:pBdr>
          <w:bottom w:val="single" w:color="auto" w:sz="12" w:space="2"/>
        </w:pBdr>
        <w:spacing w:line="233" w:lineRule="auto"/>
        <w:jc w:val="both"/>
      </w:pPr>
      <w:r>
        <w:t xml:space="preserve">7.3. Образование:</w:t>
      </w:r>
    </w:p>
    <w:p>
      <w:pPr>
        <w:pBdr>
          <w:bottom w:val="single" w:color="auto" w:sz="12" w:space="2"/>
        </w:pBdr>
        <w:spacing w:line="233" w:lineRule="auto"/>
        <w:jc w:val="both"/>
      </w:pPr>
      <w:r>
        <w:t xml:space="preserve">7.4. Специальность:</w:t>
      </w:r>
    </w:p>
    <w:p>
      <w:pPr>
        <w:pBdr>
          <w:bottom w:val="single" w:color="auto" w:sz="12" w:space="2"/>
        </w:pBdr>
        <w:spacing w:line="233" w:lineRule="auto"/>
        <w:jc w:val="both"/>
      </w:pPr>
      <w:r>
        <w:t xml:space="preserve">7.5. Обстоятельства ошибки:</w:t>
      </w:r>
    </w:p>
    <w:p>
      <w:pPr>
        <w:pBdr>
          <w:bottom w:val="single" w:color="auto" w:sz="12" w:space="2"/>
        </w:pBdr>
        <w:spacing w:line="233" w:lineRule="auto"/>
        <w:jc w:val="both"/>
      </w:pPr>
      <w:r>
        <w:t xml:space="preserve">7.6. Причины ошибки:</w:t>
      </w:r>
    </w:p>
    <w:p>
      <w:pPr>
        <w:pBdr>
          <w:bottom w:val="single" w:color="auto" w:sz="12" w:space="2"/>
        </w:pBdr>
        <w:spacing w:line="233" w:lineRule="auto"/>
        <w:jc w:val="both"/>
      </w:pPr>
      <w:r>
        <w:t xml:space="preserve">7.7. Стаж работы в данной должности: </w:t>
      </w:r>
    </w:p>
    <w:p>
      <w:pPr>
        <w:pBdr>
          <w:bottom w:val="single" w:color="auto" w:sz="12" w:space="2"/>
        </w:pBdr>
        <w:spacing w:line="233" w:lineRule="auto"/>
        <w:jc w:val="both"/>
      </w:pPr>
      <w:r>
        <w:t xml:space="preserve">7.8. Дата последней проверки знаний в объеме требований к занимаемой должности:</w:t>
      </w:r>
    </w:p>
    <w:p>
      <w:pPr>
        <w:spacing w:before="120"/>
        <w:jc w:val="both"/>
      </w:pPr>
      <w:r>
        <w:rPr>
          <w:b/>
        </w:rPr>
        <w:t xml:space="preserve">8. Особое мнение члена (членов) </w:t>
      </w:r>
      <w:r>
        <w:rPr>
          <w:b/>
        </w:rPr>
        <w:t xml:space="preserve">комиссии:</w:t>
      </w:r>
      <w:r>
        <w:t xml:space="preserve">_</w:t>
      </w:r>
      <w:r>
        <w:t xml:space="preserve">_____________________________________</w:t>
      </w:r>
    </w:p>
    <w:p>
      <w:pPr>
        <w:spacing w:before="120"/>
        <w:jc w:val="both"/>
      </w:pPr>
      <w:r>
        <w:rPr>
          <w:b/>
        </w:rPr>
        <w:t xml:space="preserve">9. Подписи членов комиссии:</w:t>
      </w:r>
      <w:r>
        <w:t xml:space="preserve"> </w:t>
      </w:r>
    </w:p>
    <w:p>
      <w:pPr>
        <w:jc w:val="both"/>
        <w:rPr>
          <w:b/>
        </w:rPr>
      </w:pPr>
      <w:r>
        <w:t xml:space="preserve">Комиссия, назначенная приказом ________________________ № ___ от ___________ год</w:t>
      </w:r>
    </w:p>
    <w:p>
      <w:pPr>
        <w:jc w:val="both"/>
      </w:pPr>
      <w:r>
        <w:rPr>
          <w:color w:val="000000"/>
        </w:rPr>
        <w:t xml:space="preserve">Председатель:</w:t>
      </w:r>
    </w:p>
    <w:p>
      <w:pPr>
        <w:jc w:val="both"/>
        <w:rPr>
          <w:sz w:val="18"/>
          <w:szCs w:val="18"/>
        </w:rPr>
      </w:pPr>
      <w:r>
        <w:rPr>
          <w:color w:val="000000"/>
          <w:sz w:val="20"/>
          <w:szCs w:val="20"/>
        </w:rPr>
        <w:t xml:space="preserve"> </w:t>
      </w:r>
      <w:r>
        <w:rPr>
          <w:color w:val="000000"/>
          <w:sz w:val="18"/>
          <w:szCs w:val="18"/>
        </w:rPr>
        <w:t xml:space="preserve">Должность:_</w:t>
      </w:r>
      <w:r>
        <w:rPr>
          <w:color w:val="000000"/>
          <w:sz w:val="18"/>
          <w:szCs w:val="18"/>
        </w:rPr>
        <w:t xml:space="preserve">_____________,__________ _________________________________</w:t>
      </w:r>
    </w:p>
    <w:p>
      <w:pPr>
        <w:jc w:val="both"/>
        <w:rPr>
          <w:sz w:val="18"/>
          <w:szCs w:val="18"/>
        </w:rPr>
      </w:pPr>
      <w:r>
        <w:rPr>
          <w:color w:val="000000"/>
          <w:sz w:val="18"/>
          <w:szCs w:val="18"/>
        </w:rPr>
        <w:t xml:space="preserve">             (</w:t>
      </w:r>
      <w:r>
        <w:rPr>
          <w:color w:val="000000"/>
          <w:sz w:val="18"/>
          <w:szCs w:val="18"/>
        </w:rPr>
        <w:t xml:space="preserve">подпись)   </w:t>
      </w:r>
      <w:r>
        <w:rPr>
          <w:color w:val="000000"/>
          <w:sz w:val="18"/>
          <w:szCs w:val="18"/>
        </w:rPr>
        <w:t xml:space="preserve">   (фамилия, инициалы)</w:t>
      </w:r>
    </w:p>
    <w:p>
      <w:pPr>
        <w:jc w:val="both"/>
      </w:pPr>
      <w:r>
        <w:rPr>
          <w:color w:val="000000"/>
        </w:rPr>
        <w:t xml:space="preserve">Заместитель председателя:</w:t>
      </w:r>
    </w:p>
    <w:p>
      <w:pPr>
        <w:jc w:val="both"/>
        <w:rPr>
          <w:sz w:val="18"/>
          <w:szCs w:val="18"/>
        </w:rPr>
      </w:pPr>
      <w:r>
        <w:rPr>
          <w:color w:val="000000"/>
          <w:sz w:val="20"/>
          <w:szCs w:val="20"/>
        </w:rPr>
        <w:t xml:space="preserve">  </w:t>
      </w:r>
      <w:r>
        <w:rPr>
          <w:color w:val="000000"/>
          <w:sz w:val="18"/>
          <w:szCs w:val="18"/>
        </w:rPr>
        <w:t xml:space="preserve">Должность:_</w:t>
      </w:r>
      <w:r>
        <w:rPr>
          <w:color w:val="000000"/>
          <w:sz w:val="18"/>
          <w:szCs w:val="18"/>
        </w:rPr>
        <w:t xml:space="preserve">_____________,__________  _________________________________</w:t>
      </w:r>
    </w:p>
    <w:p>
      <w:pPr>
        <w:jc w:val="both"/>
        <w:rPr>
          <w:sz w:val="18"/>
          <w:szCs w:val="18"/>
        </w:rPr>
      </w:pPr>
      <w:r>
        <w:rPr>
          <w:color w:val="000000"/>
          <w:sz w:val="18"/>
          <w:szCs w:val="18"/>
        </w:rPr>
        <w:t xml:space="preserve">              (</w:t>
      </w:r>
      <w:r>
        <w:rPr>
          <w:color w:val="000000"/>
          <w:sz w:val="18"/>
          <w:szCs w:val="18"/>
        </w:rPr>
        <w:t xml:space="preserve">подпись)   </w:t>
      </w:r>
      <w:r>
        <w:rPr>
          <w:color w:val="000000"/>
          <w:sz w:val="18"/>
          <w:szCs w:val="18"/>
        </w:rPr>
        <w:t xml:space="preserve">   (фамилия, инициалы)</w:t>
      </w:r>
    </w:p>
    <w:p>
      <w:pPr>
        <w:jc w:val="both"/>
      </w:pPr>
      <w:r>
        <w:rPr>
          <w:color w:val="000000"/>
        </w:rPr>
        <w:t xml:space="preserve">Члены комиссии:</w:t>
      </w:r>
    </w:p>
    <w:p>
      <w:pPr>
        <w:jc w:val="both"/>
        <w:rPr>
          <w:sz w:val="18"/>
          <w:szCs w:val="18"/>
        </w:rPr>
      </w:pPr>
      <w:r>
        <w:rPr>
          <w:color w:val="000000"/>
          <w:sz w:val="18"/>
          <w:szCs w:val="18"/>
        </w:rPr>
        <w:t xml:space="preserve">  </w:t>
      </w:r>
      <w:r>
        <w:rPr>
          <w:color w:val="000000"/>
          <w:sz w:val="18"/>
          <w:szCs w:val="18"/>
        </w:rPr>
        <w:t xml:space="preserve">Должность:_</w:t>
      </w:r>
      <w:r>
        <w:rPr>
          <w:color w:val="000000"/>
          <w:sz w:val="18"/>
          <w:szCs w:val="18"/>
        </w:rPr>
        <w:t xml:space="preserve">_____________,__________  _________________________________</w:t>
      </w:r>
    </w:p>
    <w:p>
      <w:pPr>
        <w:jc w:val="both"/>
        <w:rPr>
          <w:sz w:val="18"/>
          <w:szCs w:val="18"/>
        </w:rPr>
      </w:pPr>
      <w:r>
        <w:rPr>
          <w:color w:val="000000"/>
          <w:sz w:val="18"/>
          <w:szCs w:val="18"/>
        </w:rPr>
        <w:t xml:space="preserve">              (</w:t>
      </w:r>
      <w:r>
        <w:rPr>
          <w:color w:val="000000"/>
          <w:sz w:val="18"/>
          <w:szCs w:val="18"/>
        </w:rPr>
        <w:t xml:space="preserve">подпись)   </w:t>
      </w:r>
      <w:r>
        <w:rPr>
          <w:color w:val="000000"/>
          <w:sz w:val="18"/>
          <w:szCs w:val="18"/>
        </w:rPr>
        <w:t xml:space="preserve">   (фамилия, инициалы)</w:t>
      </w:r>
    </w:p>
    <w:p>
      <w:pPr>
        <w:jc w:val="both"/>
      </w:pPr>
      <w:r>
        <w:rPr>
          <w:color w:val="000000"/>
        </w:rPr>
        <w:t xml:space="preserve">Члены комиссии, имеющие особое мнение:</w:t>
      </w:r>
    </w:p>
    <w:p>
      <w:pPr>
        <w:jc w:val="both"/>
        <w:rPr>
          <w:sz w:val="18"/>
          <w:szCs w:val="18"/>
        </w:rPr>
      </w:pPr>
      <w:r>
        <w:rPr>
          <w:color w:val="000000"/>
          <w:sz w:val="18"/>
          <w:szCs w:val="18"/>
        </w:rPr>
        <w:t xml:space="preserve">  </w:t>
      </w:r>
      <w:r>
        <w:rPr>
          <w:color w:val="000000"/>
          <w:sz w:val="18"/>
          <w:szCs w:val="18"/>
        </w:rPr>
        <w:t xml:space="preserve">Должность:_</w:t>
      </w:r>
      <w:r>
        <w:rPr>
          <w:color w:val="000000"/>
          <w:sz w:val="18"/>
          <w:szCs w:val="18"/>
        </w:rPr>
        <w:t xml:space="preserve">_____________________,__________  _________________________________</w:t>
      </w:r>
    </w:p>
    <w:p>
      <w:pPr>
        <w:jc w:val="both"/>
        <w:rPr>
          <w:sz w:val="18"/>
          <w:szCs w:val="18"/>
        </w:rPr>
      </w:pPr>
      <w:r>
        <w:rPr>
          <w:color w:val="000000"/>
          <w:sz w:val="18"/>
          <w:szCs w:val="18"/>
        </w:rPr>
        <w:t xml:space="preserve">             (</w:t>
      </w:r>
      <w:r>
        <w:rPr>
          <w:color w:val="000000"/>
          <w:sz w:val="18"/>
          <w:szCs w:val="18"/>
        </w:rPr>
        <w:t xml:space="preserve">подпись)   </w:t>
      </w:r>
      <w:r>
        <w:rPr>
          <w:color w:val="000000"/>
          <w:sz w:val="18"/>
          <w:szCs w:val="18"/>
        </w:rPr>
        <w:t xml:space="preserve">       (фамилия, инициалы)</w:t>
      </w:r>
    </w:p>
    <w:tbl>
      <w:tblPr>
        <w:tblW w:w="5000"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5" w:type="dxa"/>
          <w:top w:w="75" w:type="dxa"/>
          <w:right w:w="75" w:type="dxa"/>
          <w:bottom w:w="75" w:type="dxa"/>
        </w:tblCellMar>
        <w:tblLook w:val="04A0" w:firstRow="1" w:lastRow="0" w:firstColumn="1" w:lastColumn="0" w:noHBand="0" w:noVBand="1"/>
      </w:tblPr>
      <w:tblGrid>
        <w:gridCol w:w="9468"/>
      </w:tblGrid>
      <w:tr>
        <w:trPr>
          <w:trHeight w:val="258"/>
        </w:trPr>
        <w:tc>
          <w:tcPr>
            <w:tcW w:w="5000" w:type="pct"/>
            <w:tcBorders>
              <w:top w:val="none"/>
              <w:left w:val="none"/>
              <w:bottom w:val="none"/>
              <w:right w:val="none"/>
            </w:tcBorders>
            <w:tcMar>
              <w:left w:w="45" w:type="dxa"/>
              <w:right w:w="45" w:type="dxa"/>
            </w:tcMar>
          </w:tcPr>
          <w:p>
            <w:r>
              <w:t xml:space="preserve">Расследование проведено и акт составлен__________ год</w:t>
            </w:r>
          </w:p>
        </w:tc>
      </w:tr>
      <w:tr>
        <w:trPr>
          <w:trHeight w:val="258"/>
        </w:trPr>
        <w:tc>
          <w:tcPr>
            <w:tcW w:w="5000" w:type="pct"/>
            <w:tcBorders>
              <w:top w:val="none"/>
              <w:left w:val="none"/>
              <w:bottom w:val="none"/>
              <w:right w:val="none"/>
            </w:tcBorders>
            <w:tcMar>
              <w:left w:w="45" w:type="dxa"/>
              <w:right w:w="45" w:type="dxa"/>
            </w:tcMar>
          </w:tcPr>
          <w:p>
            <w:r>
              <w:t xml:space="preserve">Перечень приложений к акту </w:t>
            </w:r>
            <w:r>
              <w:t xml:space="preserve">расследования:_</w:t>
            </w:r>
            <w:r>
              <w:t xml:space="preserve">____________________________</w:t>
            </w:r>
          </w:p>
          <w:p>
            <w:pPr>
              <w:jc w:val="both"/>
              <w:rPr>
                <w:sz w:val="14"/>
                <w:szCs w:val="14"/>
              </w:rPr>
            </w:pPr>
            <w:r>
              <w:rPr>
                <w:color w:val="000000"/>
                <w:sz w:val="14"/>
                <w:szCs w:val="14"/>
              </w:rPr>
              <w:t xml:space="preserve">                            N п/п            Наименование приложения</w:t>
            </w:r>
          </w:p>
          <w:p>
            <w:r>
              <w:t xml:space="preserve">Материалы расследования нарушения оформлены на __ листах </w:t>
            </w:r>
          </w:p>
          <w:p>
            <w:r>
              <w:t xml:space="preserve">Ответственный за оформление акта:</w:t>
            </w:r>
          </w:p>
        </w:tc>
      </w:tr>
    </w:tbl>
    <w:p>
      <w:pPr>
        <w:jc w:val="both"/>
        <w:rPr>
          <w:sz w:val="18"/>
          <w:szCs w:val="18"/>
        </w:rPr>
      </w:pPr>
      <w:r>
        <w:rPr>
          <w:color w:val="000000"/>
          <w:sz w:val="18"/>
          <w:szCs w:val="18"/>
        </w:rPr>
        <w:t xml:space="preserve">  </w:t>
      </w:r>
      <w:r>
        <w:rPr>
          <w:color w:val="000000"/>
          <w:sz w:val="18"/>
          <w:szCs w:val="18"/>
        </w:rPr>
        <w:t xml:space="preserve">Должность:_</w:t>
      </w:r>
      <w:r>
        <w:rPr>
          <w:color w:val="000000"/>
          <w:sz w:val="18"/>
          <w:szCs w:val="18"/>
        </w:rPr>
        <w:t xml:space="preserve">_____________,__________  _________________________________</w:t>
      </w:r>
    </w:p>
    <w:p>
      <w:pPr>
        <w:jc w:val="both"/>
        <w:rPr>
          <w:sz w:val="18"/>
          <w:szCs w:val="18"/>
        </w:rPr>
      </w:pPr>
      <w:r>
        <w:rPr>
          <w:color w:val="000000"/>
          <w:sz w:val="18"/>
          <w:szCs w:val="18"/>
        </w:rPr>
        <w:t xml:space="preserve">              (</w:t>
      </w:r>
      <w:r>
        <w:rPr>
          <w:color w:val="000000"/>
          <w:sz w:val="18"/>
          <w:szCs w:val="18"/>
        </w:rPr>
        <w:t xml:space="preserve">подпись)   </w:t>
      </w:r>
      <w:r>
        <w:rPr>
          <w:color w:val="000000"/>
          <w:sz w:val="18"/>
          <w:szCs w:val="18"/>
        </w:rPr>
        <w:t xml:space="preserve">   (фамилия, инициалы)</w:t>
      </w:r>
    </w:p>
    <w:p>
      <w:pPr>
        <w:spacing w:before="120"/>
        <w:rPr>
          <w:b/>
          <w:i/>
          <w:sz w:val="26"/>
          <w:szCs w:val="26"/>
          <w:u w:val="single"/>
        </w:rPr>
      </w:pPr>
      <w:r>
        <w:rPr>
          <w:b/>
          <w:i/>
          <w:sz w:val="26"/>
          <w:szCs w:val="26"/>
          <w:u w:val="single"/>
        </w:rPr>
        <w:t xml:space="preserve">Приложение к акту корпоративного учета №__от____20__.</w:t>
      </w:r>
    </w:p>
    <w:p>
      <w:pPr>
        <w:spacing w:before="120"/>
        <w:rPr>
          <w:b/>
        </w:rPr>
      </w:pPr>
      <w:r>
        <w:rPr>
          <w:b/>
        </w:rPr>
        <w:t xml:space="preserve">10. Дополнительные сведения по классификации и систематизации результатов</w:t>
      </w:r>
      <w:r>
        <w:rPr>
          <w:rStyle w:val="a6"/>
          <w:b/>
        </w:rPr>
        <w:footnoteReference w:id="7"/>
      </w:r>
    </w:p>
    <w:p>
      <w:pPr>
        <w:spacing w:before="60"/>
        <w:jc w:val="both"/>
      </w:pPr>
      <w:r>
        <w:t xml:space="preserve">10.1 Корпоративный учетный признак: _______________________________________</w:t>
      </w:r>
    </w:p>
    <w:p>
      <w:pPr>
        <w:spacing w:before="60"/>
        <w:ind w:firstLine="3969"/>
        <w:jc w:val="both"/>
        <w:rPr>
          <w:sz w:val="14"/>
          <w:szCs w:val="14"/>
        </w:rPr>
      </w:pPr>
      <w:r>
        <w:rPr>
          <w:sz w:val="14"/>
          <w:szCs w:val="14"/>
        </w:rPr>
        <w:t xml:space="preserve">устанавливается соответствующий номер подпункта из раздела 5 Методики № МТ-039</w:t>
      </w:r>
    </w:p>
    <w:p>
      <w:pPr>
        <w:spacing w:before="60"/>
        <w:jc w:val="both"/>
      </w:pPr>
      <w:r>
        <w:t xml:space="preserve">10.2 Вид учета (официальный/внутренний</w:t>
      </w:r>
      <w:r>
        <w:t xml:space="preserve">):_</w:t>
      </w:r>
      <w:r>
        <w:t xml:space="preserve">___________________________________</w:t>
      </w:r>
    </w:p>
    <w:p>
      <w:pPr>
        <w:spacing w:before="60"/>
        <w:ind w:firstLine="4395"/>
        <w:jc w:val="both"/>
        <w:rPr>
          <w:sz w:val="14"/>
          <w:szCs w:val="14"/>
        </w:rPr>
      </w:pPr>
      <w:r>
        <w:rPr>
          <w:sz w:val="14"/>
          <w:szCs w:val="14"/>
        </w:rPr>
        <w:t xml:space="preserve">      БА/ОУ</w:t>
      </w:r>
    </w:p>
    <w:p>
      <w:pPr>
        <w:spacing w:before="60"/>
        <w:jc w:val="both"/>
      </w:pPr>
      <w:r>
        <w:t xml:space="preserve">10.3. Величина ущерба, по видам ущерба, тыс. </w:t>
      </w:r>
      <w:r>
        <w:t xml:space="preserve">руб</w:t>
      </w:r>
      <w:r>
        <w:t xml:space="preserve">: </w:t>
      </w:r>
    </w:p>
    <w:p>
      <w:pPr>
        <w:rPr>
          <w:sz w:val="16"/>
          <w:szCs w:val="16"/>
          <w:highlight w:val="green"/>
        </w:rPr>
      </w:pPr>
    </w:p>
    <w:tbl>
      <w:tblPr>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51"/>
        <w:gridCol w:w="784"/>
        <w:gridCol w:w="697"/>
        <w:gridCol w:w="466"/>
        <w:gridCol w:w="659"/>
        <w:gridCol w:w="644"/>
        <w:gridCol w:w="694"/>
        <w:gridCol w:w="698"/>
        <w:gridCol w:w="764"/>
        <w:gridCol w:w="834"/>
        <w:gridCol w:w="702"/>
        <w:gridCol w:w="603"/>
        <w:gridCol w:w="560"/>
        <w:gridCol w:w="802"/>
      </w:tblGrid>
      <w:tr>
        <w:trPr>
          <w:trHeight w:val="1129"/>
        </w:trPr>
        <w:tc>
          <w:tcPr>
            <w:tcW w:w="291" w:type="pct"/>
            <w:shd w:val="clear" w:color="auto" w:fill="auto"/>
            <w:hideMark/>
          </w:tcPr>
          <w:p>
            <w:pPr>
              <w:ind w:left="-113" w:right="-113"/>
              <w:jc w:val="center"/>
              <w:rPr>
                <w:bCs/>
                <w:sz w:val="16"/>
                <w:szCs w:val="16"/>
              </w:rPr>
            </w:pPr>
            <w:r>
              <w:rPr>
                <w:bCs/>
                <w:sz w:val="16"/>
                <w:szCs w:val="16"/>
              </w:rPr>
              <w:t xml:space="preserve">U1,</w:t>
            </w:r>
            <w:r>
              <w:rPr>
                <w:bCs/>
                <w:sz w:val="16"/>
                <w:szCs w:val="16"/>
              </w:rPr>
              <w:br/>
              <w:t xml:space="preserve">Рем. </w:t>
            </w:r>
            <w:r>
              <w:rPr>
                <w:bCs/>
                <w:sz w:val="16"/>
                <w:szCs w:val="16"/>
              </w:rPr>
              <w:t xml:space="preserve">затр</w:t>
            </w:r>
            <w:r>
              <w:rPr>
                <w:bCs/>
                <w:sz w:val="16"/>
                <w:szCs w:val="16"/>
              </w:rPr>
              <w:t xml:space="preserve">.</w:t>
            </w:r>
          </w:p>
        </w:tc>
        <w:tc>
          <w:tcPr>
            <w:tcW w:w="414" w:type="pct"/>
            <w:shd w:val="clear" w:color="auto" w:fill="auto"/>
            <w:hideMark/>
          </w:tcPr>
          <w:p>
            <w:pPr>
              <w:ind w:left="-113" w:right="-113"/>
              <w:jc w:val="center"/>
              <w:rPr>
                <w:bCs/>
                <w:sz w:val="16"/>
                <w:szCs w:val="16"/>
              </w:rPr>
            </w:pPr>
            <w:r>
              <w:rPr>
                <w:bCs/>
                <w:sz w:val="16"/>
                <w:szCs w:val="16"/>
              </w:rPr>
              <w:t xml:space="preserve">U2,</w:t>
            </w:r>
            <w:r>
              <w:rPr>
                <w:bCs/>
                <w:sz w:val="16"/>
                <w:szCs w:val="16"/>
              </w:rPr>
              <w:br/>
            </w:r>
            <w:r>
              <w:rPr>
                <w:bCs/>
                <w:sz w:val="16"/>
                <w:szCs w:val="16"/>
              </w:rPr>
              <w:t xml:space="preserve">Безвозвр</w:t>
            </w:r>
            <w:r>
              <w:rPr>
                <w:bCs/>
                <w:sz w:val="16"/>
                <w:szCs w:val="16"/>
              </w:rPr>
              <w:t xml:space="preserve">. потери</w:t>
            </w:r>
          </w:p>
        </w:tc>
        <w:tc>
          <w:tcPr>
            <w:tcW w:w="368" w:type="pct"/>
            <w:shd w:val="clear" w:color="auto" w:fill="auto"/>
            <w:hideMark/>
          </w:tcPr>
          <w:p>
            <w:pPr>
              <w:ind w:left="-113" w:right="-113"/>
              <w:jc w:val="center"/>
              <w:rPr>
                <w:bCs/>
                <w:sz w:val="16"/>
                <w:szCs w:val="16"/>
              </w:rPr>
            </w:pPr>
            <w:r>
              <w:rPr>
                <w:bCs/>
                <w:sz w:val="16"/>
                <w:szCs w:val="16"/>
              </w:rPr>
              <w:t xml:space="preserve">U3,</w:t>
            </w:r>
            <w:r>
              <w:rPr>
                <w:bCs/>
                <w:sz w:val="16"/>
                <w:szCs w:val="16"/>
              </w:rPr>
              <w:br/>
              <w:t xml:space="preserve">от </w:t>
            </w:r>
            <w:r>
              <w:rPr>
                <w:bCs/>
                <w:sz w:val="16"/>
                <w:szCs w:val="16"/>
              </w:rPr>
              <w:t xml:space="preserve">ухудш</w:t>
            </w:r>
            <w:r>
              <w:rPr>
                <w:bCs/>
                <w:sz w:val="16"/>
                <w:szCs w:val="16"/>
              </w:rPr>
              <w:t xml:space="preserve">. тех. парам.</w:t>
            </w:r>
          </w:p>
        </w:tc>
        <w:tc>
          <w:tcPr>
            <w:tcW w:w="246" w:type="pct"/>
            <w:shd w:val="clear" w:color="auto" w:fill="auto"/>
            <w:hideMark/>
          </w:tcPr>
          <w:p>
            <w:pPr>
              <w:ind w:left="-113" w:right="-113"/>
              <w:jc w:val="center"/>
              <w:rPr>
                <w:bCs/>
                <w:sz w:val="16"/>
                <w:szCs w:val="16"/>
              </w:rPr>
            </w:pPr>
            <w:r>
              <w:rPr>
                <w:bCs/>
                <w:sz w:val="16"/>
                <w:szCs w:val="16"/>
              </w:rPr>
              <w:t xml:space="preserve">U4,</w:t>
            </w:r>
            <w:r>
              <w:rPr>
                <w:bCs/>
                <w:sz w:val="16"/>
                <w:szCs w:val="16"/>
              </w:rPr>
              <w:br/>
              <w:t xml:space="preserve">Пуск. </w:t>
            </w:r>
            <w:r>
              <w:rPr>
                <w:bCs/>
                <w:sz w:val="16"/>
                <w:szCs w:val="16"/>
              </w:rPr>
              <w:t xml:space="preserve">затр</w:t>
            </w:r>
            <w:r>
              <w:rPr>
                <w:bCs/>
                <w:sz w:val="16"/>
                <w:szCs w:val="16"/>
              </w:rPr>
              <w:t xml:space="preserve">.</w:t>
            </w:r>
          </w:p>
        </w:tc>
        <w:tc>
          <w:tcPr>
            <w:tcW w:w="348" w:type="pct"/>
            <w:shd w:val="clear" w:color="auto" w:fill="auto"/>
            <w:hideMark/>
          </w:tcPr>
          <w:p>
            <w:pPr>
              <w:ind w:left="-113" w:right="-113"/>
              <w:jc w:val="center"/>
              <w:rPr>
                <w:bCs/>
                <w:sz w:val="16"/>
                <w:szCs w:val="16"/>
              </w:rPr>
            </w:pPr>
            <w:r>
              <w:rPr>
                <w:bCs/>
                <w:sz w:val="16"/>
                <w:szCs w:val="16"/>
              </w:rPr>
              <w:t xml:space="preserve">U5,</w:t>
            </w:r>
            <w:r>
              <w:rPr>
                <w:bCs/>
                <w:sz w:val="16"/>
                <w:szCs w:val="16"/>
              </w:rPr>
              <w:br/>
              <w:t xml:space="preserve">Эколог. </w:t>
            </w:r>
            <w:r>
              <w:rPr>
                <w:bCs/>
                <w:sz w:val="16"/>
                <w:szCs w:val="16"/>
              </w:rPr>
              <w:t xml:space="preserve">ущ</w:t>
            </w:r>
            <w:r>
              <w:rPr>
                <w:bCs/>
                <w:sz w:val="16"/>
                <w:szCs w:val="16"/>
              </w:rPr>
              <w:t xml:space="preserve">.</w:t>
            </w:r>
          </w:p>
        </w:tc>
        <w:tc>
          <w:tcPr>
            <w:tcW w:w="340" w:type="pct"/>
            <w:shd w:val="clear" w:color="auto" w:fill="auto"/>
            <w:hideMark/>
          </w:tcPr>
          <w:p>
            <w:pPr>
              <w:ind w:left="-113" w:right="-113"/>
              <w:jc w:val="center"/>
              <w:rPr>
                <w:bCs/>
                <w:sz w:val="16"/>
                <w:szCs w:val="16"/>
              </w:rPr>
            </w:pPr>
            <w:r>
              <w:rPr>
                <w:bCs/>
                <w:sz w:val="16"/>
                <w:szCs w:val="16"/>
              </w:rPr>
              <w:t xml:space="preserve">U6,</w:t>
            </w:r>
            <w:r>
              <w:rPr>
                <w:bCs/>
                <w:sz w:val="16"/>
                <w:szCs w:val="16"/>
              </w:rPr>
              <w:br/>
            </w:r>
            <w:r>
              <w:rPr>
                <w:bCs/>
                <w:sz w:val="16"/>
                <w:szCs w:val="16"/>
              </w:rPr>
              <w:t xml:space="preserve">Социал</w:t>
            </w:r>
            <w:r>
              <w:rPr>
                <w:bCs/>
                <w:sz w:val="16"/>
                <w:szCs w:val="16"/>
              </w:rPr>
              <w:t xml:space="preserve">. </w:t>
            </w:r>
            <w:r>
              <w:rPr>
                <w:bCs/>
                <w:sz w:val="16"/>
                <w:szCs w:val="16"/>
              </w:rPr>
              <w:t xml:space="preserve">ущ</w:t>
            </w:r>
            <w:r>
              <w:rPr>
                <w:bCs/>
                <w:sz w:val="16"/>
                <w:szCs w:val="16"/>
              </w:rPr>
              <w:t xml:space="preserve">.</w:t>
            </w:r>
          </w:p>
        </w:tc>
        <w:tc>
          <w:tcPr>
            <w:tcW w:w="367" w:type="pct"/>
            <w:shd w:val="clear" w:color="auto" w:fill="auto"/>
            <w:hideMark/>
          </w:tcPr>
          <w:p>
            <w:pPr>
              <w:ind w:left="-113" w:right="-113"/>
              <w:jc w:val="center"/>
              <w:rPr>
                <w:bCs/>
                <w:sz w:val="16"/>
                <w:szCs w:val="16"/>
              </w:rPr>
            </w:pPr>
            <w:r>
              <w:rPr>
                <w:bCs/>
                <w:sz w:val="16"/>
                <w:szCs w:val="16"/>
              </w:rPr>
              <w:t xml:space="preserve">U7,</w:t>
            </w:r>
            <w:r>
              <w:rPr>
                <w:bCs/>
                <w:sz w:val="16"/>
                <w:szCs w:val="16"/>
              </w:rPr>
              <w:br/>
            </w:r>
            <w:r>
              <w:rPr>
                <w:bCs/>
                <w:sz w:val="16"/>
                <w:szCs w:val="16"/>
              </w:rPr>
              <w:t xml:space="preserve">Возмещ</w:t>
            </w:r>
            <w:r>
              <w:rPr>
                <w:bCs/>
                <w:sz w:val="16"/>
                <w:szCs w:val="16"/>
              </w:rPr>
              <w:t xml:space="preserve">. </w:t>
            </w:r>
            <w:r>
              <w:rPr>
                <w:bCs/>
                <w:sz w:val="16"/>
                <w:szCs w:val="16"/>
              </w:rPr>
              <w:t xml:space="preserve">убыт</w:t>
            </w:r>
            <w:r>
              <w:rPr>
                <w:bCs/>
                <w:sz w:val="16"/>
                <w:szCs w:val="16"/>
              </w:rPr>
              <w:t xml:space="preserve">. потреб.</w:t>
            </w:r>
          </w:p>
        </w:tc>
        <w:tc>
          <w:tcPr>
            <w:tcW w:w="369" w:type="pct"/>
            <w:shd w:val="clear" w:color="auto" w:fill="auto"/>
            <w:hideMark/>
          </w:tcPr>
          <w:p>
            <w:pPr>
              <w:ind w:left="-113" w:right="-113"/>
              <w:jc w:val="center"/>
              <w:rPr>
                <w:bCs/>
                <w:sz w:val="16"/>
                <w:szCs w:val="16"/>
              </w:rPr>
            </w:pPr>
            <w:r>
              <w:rPr>
                <w:bCs/>
                <w:sz w:val="16"/>
                <w:szCs w:val="16"/>
              </w:rPr>
              <w:t xml:space="preserve">U8,</w:t>
            </w:r>
            <w:r>
              <w:rPr>
                <w:bCs/>
                <w:sz w:val="16"/>
                <w:szCs w:val="16"/>
              </w:rPr>
              <w:br/>
              <w:t xml:space="preserve">Потери на БР</w:t>
            </w:r>
          </w:p>
        </w:tc>
        <w:tc>
          <w:tcPr>
            <w:tcW w:w="404" w:type="pct"/>
            <w:shd w:val="clear" w:color="auto" w:fill="auto"/>
            <w:hideMark/>
          </w:tcPr>
          <w:p>
            <w:pPr>
              <w:ind w:left="-113" w:right="-113"/>
              <w:jc w:val="center"/>
              <w:rPr>
                <w:bCs/>
                <w:sz w:val="16"/>
                <w:szCs w:val="16"/>
              </w:rPr>
            </w:pPr>
            <w:r>
              <w:rPr>
                <w:bCs/>
                <w:sz w:val="16"/>
                <w:szCs w:val="16"/>
              </w:rPr>
              <w:t xml:space="preserve">U9,</w:t>
            </w:r>
            <w:r>
              <w:rPr>
                <w:bCs/>
                <w:sz w:val="16"/>
                <w:szCs w:val="16"/>
              </w:rPr>
              <w:br/>
              <w:t xml:space="preserve">Неоплата мощности </w:t>
            </w:r>
          </w:p>
        </w:tc>
        <w:tc>
          <w:tcPr>
            <w:tcW w:w="441" w:type="pct"/>
            <w:shd w:val="clear" w:color="auto" w:fill="auto"/>
            <w:hideMark/>
          </w:tcPr>
          <w:p>
            <w:pPr>
              <w:ind w:left="-113" w:right="-113"/>
              <w:jc w:val="center"/>
              <w:rPr>
                <w:bCs/>
                <w:sz w:val="16"/>
                <w:szCs w:val="16"/>
              </w:rPr>
            </w:pPr>
            <w:r>
              <w:rPr>
                <w:bCs/>
                <w:sz w:val="16"/>
                <w:szCs w:val="16"/>
              </w:rPr>
              <w:t xml:space="preserve">U10,</w:t>
            </w:r>
            <w:r>
              <w:rPr>
                <w:bCs/>
                <w:sz w:val="16"/>
                <w:szCs w:val="16"/>
              </w:rPr>
              <w:br/>
              <w:t xml:space="preserve">Потери от </w:t>
            </w:r>
            <w:r>
              <w:rPr>
                <w:bCs/>
                <w:sz w:val="16"/>
                <w:szCs w:val="16"/>
              </w:rPr>
              <w:t xml:space="preserve">неопл</w:t>
            </w:r>
            <w:r>
              <w:rPr>
                <w:bCs/>
                <w:sz w:val="16"/>
                <w:szCs w:val="16"/>
              </w:rPr>
              <w:t xml:space="preserve">. </w:t>
            </w:r>
          </w:p>
          <w:p>
            <w:pPr>
              <w:ind w:left="-113" w:right="-113"/>
              <w:jc w:val="center"/>
              <w:rPr>
                <w:bCs/>
                <w:sz w:val="16"/>
                <w:szCs w:val="16"/>
              </w:rPr>
            </w:pPr>
            <w:r>
              <w:rPr>
                <w:bCs/>
                <w:sz w:val="16"/>
                <w:szCs w:val="16"/>
              </w:rPr>
              <w:t xml:space="preserve">За НПРЧ, АВРЧМ и пр.</w:t>
            </w:r>
          </w:p>
        </w:tc>
        <w:tc>
          <w:tcPr>
            <w:tcW w:w="371" w:type="pct"/>
            <w:shd w:val="clear" w:color="auto" w:fill="auto"/>
            <w:hideMark/>
          </w:tcPr>
          <w:p>
            <w:pPr>
              <w:ind w:left="-113" w:right="-113"/>
              <w:jc w:val="center"/>
              <w:rPr>
                <w:bCs/>
                <w:sz w:val="16"/>
                <w:szCs w:val="16"/>
              </w:rPr>
            </w:pPr>
            <w:r>
              <w:rPr>
                <w:bCs/>
                <w:sz w:val="16"/>
                <w:szCs w:val="16"/>
              </w:rPr>
              <w:t xml:space="preserve">Uпр</w:t>
            </w:r>
            <w:r>
              <w:rPr>
                <w:bCs/>
                <w:sz w:val="16"/>
                <w:szCs w:val="16"/>
              </w:rPr>
              <w:t xml:space="preserve">,</w:t>
            </w:r>
            <w:r>
              <w:rPr>
                <w:bCs/>
                <w:sz w:val="16"/>
                <w:szCs w:val="16"/>
              </w:rPr>
              <w:br/>
              <w:t xml:space="preserve">Прочие</w:t>
            </w:r>
          </w:p>
        </w:tc>
        <w:tc>
          <w:tcPr>
            <w:tcW w:w="319" w:type="pct"/>
            <w:shd w:val="clear" w:color="auto" w:fill="auto"/>
            <w:hideMark/>
          </w:tcPr>
          <w:p>
            <w:pPr>
              <w:ind w:left="-113" w:right="-113"/>
              <w:jc w:val="center"/>
              <w:rPr>
                <w:bCs/>
                <w:sz w:val="16"/>
                <w:szCs w:val="16"/>
              </w:rPr>
            </w:pPr>
            <w:r>
              <w:rPr>
                <w:bCs/>
                <w:sz w:val="16"/>
                <w:szCs w:val="16"/>
              </w:rPr>
              <w:t xml:space="preserve">Wm</w:t>
            </w:r>
            <w:r>
              <w:rPr>
                <w:bCs/>
                <w:sz w:val="16"/>
                <w:szCs w:val="16"/>
              </w:rPr>
              <w:t xml:space="preserve">,</w:t>
            </w:r>
            <w:r>
              <w:rPr>
                <w:bCs/>
                <w:sz w:val="16"/>
                <w:szCs w:val="16"/>
              </w:rPr>
              <w:br/>
              <w:t xml:space="preserve">Недовыработка</w:t>
            </w:r>
          </w:p>
        </w:tc>
        <w:tc>
          <w:tcPr>
            <w:tcW w:w="296" w:type="pct"/>
            <w:shd w:val="clear" w:color="auto" w:fill="auto"/>
            <w:hideMark/>
          </w:tcPr>
          <w:p>
            <w:pPr>
              <w:ind w:left="-113" w:right="-113"/>
              <w:jc w:val="center"/>
              <w:rPr>
                <w:bCs/>
                <w:sz w:val="16"/>
                <w:szCs w:val="16"/>
              </w:rPr>
            </w:pPr>
            <w:r>
              <w:rPr>
                <w:bCs/>
                <w:sz w:val="16"/>
                <w:szCs w:val="16"/>
              </w:rPr>
              <w:t xml:space="preserve">Sвоз</w:t>
            </w:r>
            <w:r>
              <w:rPr>
                <w:bCs/>
                <w:sz w:val="16"/>
                <w:szCs w:val="16"/>
              </w:rPr>
              <w:t xml:space="preserve">,</w:t>
            </w:r>
            <w:r>
              <w:rPr>
                <w:bCs/>
                <w:sz w:val="16"/>
                <w:szCs w:val="16"/>
              </w:rPr>
              <w:br/>
              <w:t xml:space="preserve">Возвратные</w:t>
            </w:r>
          </w:p>
        </w:tc>
        <w:tc>
          <w:tcPr>
            <w:tcW w:w="424" w:type="pct"/>
            <w:shd w:val="clear" w:color="auto" w:fill="auto"/>
            <w:hideMark/>
          </w:tcPr>
          <w:p>
            <w:pPr>
              <w:ind w:left="-113" w:right="-113"/>
              <w:jc w:val="center"/>
              <w:rPr>
                <w:bCs/>
                <w:sz w:val="16"/>
                <w:szCs w:val="16"/>
              </w:rPr>
            </w:pPr>
            <w:r>
              <w:rPr>
                <w:bCs/>
                <w:sz w:val="16"/>
                <w:szCs w:val="16"/>
              </w:rPr>
              <w:t xml:space="preserve">Суммарный</w:t>
            </w:r>
          </w:p>
        </w:tc>
      </w:tr>
      <w:tr>
        <w:trPr>
          <w:trHeight w:val="113"/>
        </w:trPr>
        <w:tc>
          <w:tcPr>
            <w:tcW w:w="291" w:type="pct"/>
            <w:shd w:val="clear" w:color="auto" w:fill="auto"/>
          </w:tcPr>
          <w:p>
            <w:pPr>
              <w:ind w:left="-113" w:right="-113"/>
              <w:jc w:val="center"/>
              <w:rPr>
                <w:bCs/>
                <w:sz w:val="20"/>
              </w:rPr>
            </w:pPr>
          </w:p>
        </w:tc>
        <w:tc>
          <w:tcPr>
            <w:tcW w:w="414" w:type="pct"/>
            <w:shd w:val="clear" w:color="auto" w:fill="auto"/>
          </w:tcPr>
          <w:p>
            <w:pPr>
              <w:ind w:left="-113" w:right="-113"/>
              <w:jc w:val="center"/>
              <w:rPr>
                <w:bCs/>
                <w:sz w:val="20"/>
              </w:rPr>
            </w:pPr>
          </w:p>
        </w:tc>
        <w:tc>
          <w:tcPr>
            <w:tcW w:w="368" w:type="pct"/>
            <w:shd w:val="clear" w:color="auto" w:fill="auto"/>
          </w:tcPr>
          <w:p>
            <w:pPr>
              <w:ind w:left="-113" w:right="-113"/>
              <w:jc w:val="center"/>
              <w:rPr>
                <w:bCs/>
                <w:sz w:val="20"/>
              </w:rPr>
            </w:pPr>
          </w:p>
        </w:tc>
        <w:tc>
          <w:tcPr>
            <w:tcW w:w="246" w:type="pct"/>
            <w:shd w:val="clear" w:color="auto" w:fill="auto"/>
          </w:tcPr>
          <w:p>
            <w:pPr>
              <w:ind w:left="-113" w:right="-113"/>
              <w:jc w:val="center"/>
              <w:rPr>
                <w:bCs/>
                <w:sz w:val="20"/>
              </w:rPr>
            </w:pPr>
          </w:p>
        </w:tc>
        <w:tc>
          <w:tcPr>
            <w:tcW w:w="348" w:type="pct"/>
            <w:shd w:val="clear" w:color="auto" w:fill="auto"/>
          </w:tcPr>
          <w:p>
            <w:pPr>
              <w:ind w:left="-113" w:right="-113"/>
              <w:jc w:val="center"/>
              <w:rPr>
                <w:bCs/>
                <w:sz w:val="20"/>
              </w:rPr>
            </w:pPr>
          </w:p>
        </w:tc>
        <w:tc>
          <w:tcPr>
            <w:tcW w:w="340" w:type="pct"/>
            <w:shd w:val="clear" w:color="auto" w:fill="auto"/>
          </w:tcPr>
          <w:p>
            <w:pPr>
              <w:ind w:left="-113" w:right="-113"/>
              <w:jc w:val="center"/>
              <w:rPr>
                <w:bCs/>
                <w:sz w:val="20"/>
              </w:rPr>
            </w:pPr>
          </w:p>
        </w:tc>
        <w:tc>
          <w:tcPr>
            <w:tcW w:w="367" w:type="pct"/>
            <w:shd w:val="clear" w:color="auto" w:fill="auto"/>
          </w:tcPr>
          <w:p>
            <w:pPr>
              <w:ind w:left="-113" w:right="-113"/>
              <w:jc w:val="center"/>
              <w:rPr>
                <w:bCs/>
                <w:sz w:val="20"/>
              </w:rPr>
            </w:pPr>
          </w:p>
        </w:tc>
        <w:tc>
          <w:tcPr>
            <w:tcW w:w="369" w:type="pct"/>
            <w:shd w:val="clear" w:color="auto" w:fill="auto"/>
          </w:tcPr>
          <w:p>
            <w:pPr>
              <w:ind w:left="-113" w:right="-113"/>
              <w:jc w:val="center"/>
              <w:rPr>
                <w:bCs/>
                <w:sz w:val="20"/>
              </w:rPr>
            </w:pPr>
          </w:p>
        </w:tc>
        <w:tc>
          <w:tcPr>
            <w:tcW w:w="404" w:type="pct"/>
            <w:shd w:val="clear" w:color="auto" w:fill="auto"/>
          </w:tcPr>
          <w:p>
            <w:pPr>
              <w:ind w:left="-113" w:right="-113"/>
              <w:jc w:val="center"/>
              <w:rPr>
                <w:bCs/>
                <w:sz w:val="20"/>
              </w:rPr>
            </w:pPr>
          </w:p>
        </w:tc>
        <w:tc>
          <w:tcPr>
            <w:tcW w:w="441" w:type="pct"/>
            <w:shd w:val="clear" w:color="auto" w:fill="auto"/>
          </w:tcPr>
          <w:p>
            <w:pPr>
              <w:ind w:left="-113" w:right="-113"/>
              <w:jc w:val="center"/>
              <w:rPr>
                <w:bCs/>
                <w:sz w:val="20"/>
              </w:rPr>
            </w:pPr>
          </w:p>
        </w:tc>
        <w:tc>
          <w:tcPr>
            <w:tcW w:w="371" w:type="pct"/>
            <w:shd w:val="clear" w:color="auto" w:fill="auto"/>
          </w:tcPr>
          <w:p>
            <w:pPr>
              <w:ind w:left="-113" w:right="-113"/>
              <w:jc w:val="center"/>
              <w:rPr>
                <w:bCs/>
                <w:sz w:val="20"/>
              </w:rPr>
            </w:pPr>
          </w:p>
        </w:tc>
        <w:tc>
          <w:tcPr>
            <w:tcW w:w="319" w:type="pct"/>
            <w:shd w:val="clear" w:color="auto" w:fill="auto"/>
          </w:tcPr>
          <w:p>
            <w:pPr>
              <w:ind w:left="-113" w:right="-113"/>
              <w:jc w:val="center"/>
              <w:rPr>
                <w:bCs/>
                <w:sz w:val="20"/>
              </w:rPr>
            </w:pPr>
          </w:p>
        </w:tc>
        <w:tc>
          <w:tcPr>
            <w:tcW w:w="296" w:type="pct"/>
            <w:shd w:val="clear" w:color="auto" w:fill="auto"/>
          </w:tcPr>
          <w:p>
            <w:pPr>
              <w:ind w:left="-113" w:right="-113"/>
              <w:jc w:val="center"/>
              <w:rPr>
                <w:bCs/>
                <w:sz w:val="20"/>
              </w:rPr>
            </w:pPr>
          </w:p>
        </w:tc>
        <w:tc>
          <w:tcPr>
            <w:tcW w:w="424" w:type="pct"/>
            <w:shd w:val="clear" w:color="auto" w:fill="auto"/>
          </w:tcPr>
          <w:p>
            <w:pPr>
              <w:ind w:left="-113" w:right="-113"/>
              <w:jc w:val="center"/>
              <w:rPr>
                <w:bCs/>
                <w:sz w:val="20"/>
              </w:rPr>
            </w:pPr>
          </w:p>
        </w:tc>
      </w:tr>
    </w:tbl>
    <w:p>
      <w:pPr>
        <w:spacing w:before="240"/>
      </w:pPr>
      <w:r>
        <w:t xml:space="preserve">10.3 Тип поврежденного/отказавшего оборудования: _____________________________</w:t>
      </w:r>
    </w:p>
    <w:p>
      <w:pPr>
        <w:spacing w:line="233" w:lineRule="auto"/>
        <w:ind w:left="142" w:firstLine="5245"/>
        <w:rPr>
          <w:sz w:val="14"/>
          <w:szCs w:val="14"/>
        </w:rPr>
      </w:pPr>
      <w:r>
        <w:rPr>
          <w:sz w:val="14"/>
          <w:szCs w:val="14"/>
        </w:rPr>
        <w:t xml:space="preserve">ПН (поверхность нагрева); </w:t>
      </w:r>
      <w:r>
        <w:rPr>
          <w:sz w:val="14"/>
          <w:szCs w:val="14"/>
        </w:rPr>
        <w:t xml:space="preserve">Трубопроводы/</w:t>
      </w:r>
      <w:r>
        <w:rPr>
          <w:sz w:val="14"/>
          <w:szCs w:val="14"/>
        </w:rPr>
        <w:t xml:space="preserve"> </w:t>
      </w:r>
      <w:r>
        <w:rPr>
          <w:sz w:val="14"/>
          <w:szCs w:val="14"/>
        </w:rPr>
        <w:t xml:space="preserve">Маслопро</w:t>
      </w:r>
      <w:r>
        <w:rPr>
          <w:sz w:val="14"/>
          <w:szCs w:val="14"/>
        </w:rPr>
        <w:t xml:space="preserve">-</w:t>
      </w:r>
      <w:r>
        <w:rPr>
          <w:sz w:val="14"/>
          <w:szCs w:val="14"/>
        </w:rPr>
        <w:t xml:space="preserve">воды/Водоводы/Дренаж; Арматура/СК/РК/ПК; Кабели силовые/</w:t>
      </w:r>
      <w:r>
        <w:rPr>
          <w:sz w:val="14"/>
          <w:szCs w:val="14"/>
        </w:rPr>
        <w:t xml:space="preserve">Шинопроводы</w:t>
      </w:r>
      <w:r>
        <w:rPr>
          <w:sz w:val="14"/>
          <w:szCs w:val="14"/>
        </w:rPr>
        <w:t xml:space="preserve">/Изоляторы/Контакторы; Кабели контрольно-измерительные; Устройства РЗА/ПАА; Устройства ТАИ/ТЗ; Устройства АСУТП; СДТУ; ВВ; (воздушные выключатели), ЭВ; ВМ; Разъединители ОРУ/ОСИ/Ошиновка/ОПН/Разрядник; ТН/ТТ; Турбина/Турбинное оборудование; Генератор; Трансформатор/ШР; </w:t>
      </w:r>
      <w:r>
        <w:rPr>
          <w:sz w:val="14"/>
          <w:szCs w:val="14"/>
        </w:rPr>
        <w:t xml:space="preserve">Газ.хоз</w:t>
      </w:r>
      <w:r>
        <w:rPr>
          <w:sz w:val="14"/>
          <w:szCs w:val="14"/>
        </w:rPr>
        <w:t xml:space="preserve">-во/</w:t>
      </w:r>
      <w:r>
        <w:rPr>
          <w:sz w:val="14"/>
          <w:szCs w:val="14"/>
        </w:rPr>
        <w:t xml:space="preserve">Топл.оборуд</w:t>
      </w:r>
      <w:r>
        <w:rPr>
          <w:sz w:val="14"/>
          <w:szCs w:val="14"/>
        </w:rPr>
        <w:t xml:space="preserve">.; </w:t>
      </w:r>
      <w:r>
        <w:rPr>
          <w:sz w:val="14"/>
          <w:szCs w:val="14"/>
        </w:rPr>
        <w:t xml:space="preserve">ЗиС</w:t>
      </w:r>
      <w:r>
        <w:rPr>
          <w:sz w:val="14"/>
          <w:szCs w:val="14"/>
        </w:rPr>
        <w:t xml:space="preserve">; ГТС; ДС/ДВ/ТДМ/РВП/ВГД/ВПВ; </w:t>
      </w:r>
      <w:r>
        <w:rPr>
          <w:sz w:val="14"/>
          <w:szCs w:val="14"/>
        </w:rPr>
        <w:t xml:space="preserve">ПитНас</w:t>
      </w:r>
      <w:r>
        <w:rPr>
          <w:sz w:val="14"/>
          <w:szCs w:val="14"/>
        </w:rPr>
        <w:t xml:space="preserve">/БН/ЦН/КЭН; МТС (магистральные тепловые сети); РТС (распределительные и квартальные тепловые сети); </w:t>
      </w:r>
      <w:r>
        <w:rPr>
          <w:sz w:val="14"/>
          <w:szCs w:val="14"/>
        </w:rPr>
        <w:t xml:space="preserve">ГоУФ</w:t>
      </w:r>
      <w:r>
        <w:rPr>
          <w:sz w:val="14"/>
          <w:szCs w:val="14"/>
        </w:rPr>
        <w:t xml:space="preserve"> (горелочные устройства, форсунки); газоходы/дымовые трубы; </w:t>
      </w:r>
      <w:r>
        <w:rPr>
          <w:sz w:val="14"/>
          <w:szCs w:val="14"/>
        </w:rPr>
        <w:t xml:space="preserve">Мельн</w:t>
      </w:r>
      <w:r>
        <w:rPr>
          <w:sz w:val="14"/>
          <w:szCs w:val="14"/>
        </w:rPr>
        <w:t xml:space="preserve">/</w:t>
      </w:r>
      <w:r>
        <w:rPr>
          <w:sz w:val="14"/>
          <w:szCs w:val="14"/>
        </w:rPr>
        <w:t xml:space="preserve">Угольн</w:t>
      </w:r>
      <w:r>
        <w:rPr>
          <w:sz w:val="14"/>
          <w:szCs w:val="14"/>
        </w:rPr>
        <w:t xml:space="preserve">.; Обор/</w:t>
      </w:r>
      <w:r>
        <w:rPr>
          <w:sz w:val="14"/>
          <w:szCs w:val="14"/>
        </w:rPr>
        <w:t xml:space="preserve">Золошлак</w:t>
      </w:r>
      <w:r>
        <w:rPr>
          <w:sz w:val="14"/>
          <w:szCs w:val="14"/>
        </w:rPr>
        <w:t xml:space="preserve">; ПВД/ПНД/</w:t>
      </w:r>
      <w:r>
        <w:rPr>
          <w:sz w:val="14"/>
          <w:szCs w:val="14"/>
        </w:rPr>
        <w:t xml:space="preserve">Конд</w:t>
      </w:r>
      <w:r>
        <w:rPr>
          <w:sz w:val="14"/>
          <w:szCs w:val="14"/>
        </w:rPr>
        <w:t xml:space="preserve">/</w:t>
      </w:r>
      <w:r>
        <w:rPr>
          <w:sz w:val="14"/>
          <w:szCs w:val="14"/>
        </w:rPr>
        <w:t xml:space="preserve">Деаэр</w:t>
      </w:r>
      <w:r>
        <w:rPr>
          <w:sz w:val="14"/>
          <w:szCs w:val="14"/>
        </w:rPr>
        <w:t xml:space="preserve">/БРОУ; Система возбуждения; КРУ/КРУЭ.</w:t>
      </w:r>
    </w:p>
    <w:p>
      <w:r>
        <w:t xml:space="preserve">10.4 Дата ввода в эксплуатацию (для основного оборудования) ______</w:t>
      </w:r>
      <w:r>
        <w:t xml:space="preserve">__________</w:t>
      </w:r>
      <w:r>
        <w:t xml:space="preserve">_______</w:t>
      </w:r>
    </w:p>
    <w:p>
      <w:r>
        <w:t xml:space="preserve">10.5 Сведения о наличии технического повреждения_</w:t>
      </w:r>
      <w:r>
        <w:t xml:space="preserve">_______________________</w:t>
      </w:r>
      <w:r>
        <w:t xml:space="preserve">________</w:t>
      </w:r>
    </w:p>
    <w:p>
      <w:pPr>
        <w:ind w:left="5760" w:firstLine="720"/>
        <w:jc w:val="center"/>
        <w:rPr>
          <w:sz w:val="14"/>
          <w:szCs w:val="14"/>
        </w:rPr>
      </w:pPr>
      <w:r>
        <w:rPr>
          <w:sz w:val="14"/>
          <w:szCs w:val="14"/>
        </w:rPr>
        <w:t xml:space="preserve">(да/нет)</w:t>
      </w:r>
    </w:p>
    <w:p>
      <w:r>
        <w:t xml:space="preserve">10.6 Сведения о страховом случае _____________________________________________</w:t>
      </w:r>
      <w:r>
        <w:t xml:space="preserve">__</w:t>
      </w:r>
      <w:r>
        <w:t xml:space="preserve">_</w:t>
      </w:r>
    </w:p>
    <w:p>
      <w:pPr>
        <w:ind w:left="1440" w:firstLine="720"/>
        <w:jc w:val="center"/>
        <w:rPr>
          <w:sz w:val="14"/>
          <w:szCs w:val="14"/>
        </w:rPr>
      </w:pPr>
      <w:r>
        <w:rPr>
          <w:sz w:val="14"/>
          <w:szCs w:val="14"/>
        </w:rPr>
        <w:t xml:space="preserve">(да/нет)</w:t>
      </w:r>
    </w:p>
    <w:p>
      <w:r>
        <w:t xml:space="preserve">10.7 Дата и время устранения дефекта/восстановление работоспособности_______</w:t>
      </w:r>
      <w:r>
        <w:t xml:space="preserve">__</w:t>
      </w:r>
      <w:r>
        <w:t xml:space="preserve">__</w:t>
      </w:r>
      <w:r>
        <w:t xml:space="preserve">_</w:t>
      </w:r>
      <w:r>
        <w:t xml:space="preserve">__</w:t>
      </w:r>
    </w:p>
    <w:p>
      <w:r>
        <w:t xml:space="preserve">10.8 Дата и время пуска оборудования в работу/восстановление режима __________</w:t>
      </w:r>
      <w:r>
        <w:t xml:space="preserve">___</w:t>
      </w:r>
      <w:r>
        <w:t xml:space="preserve">___</w:t>
      </w:r>
    </w:p>
    <w:p>
      <w:r>
        <w:t xml:space="preserve">10.9 Величина снижения мощности, МВт, Гкал/ч _____________</w:t>
      </w:r>
    </w:p>
    <w:p>
      <w:r>
        <w:t xml:space="preserve">10.10 Величина недовыработки, </w:t>
      </w:r>
      <w:r>
        <w:t xml:space="preserve">МВтч</w:t>
      </w:r>
      <w:r>
        <w:t xml:space="preserve"> _____________</w:t>
      </w:r>
    </w:p>
    <w:p>
      <w:r>
        <w:t xml:space="preserve">10.11 Классификации точки поставки _____________</w:t>
      </w:r>
    </w:p>
    <w:p>
      <w:pPr>
        <w:jc w:val="center"/>
        <w:rPr>
          <w:sz w:val="14"/>
          <w:szCs w:val="14"/>
        </w:rPr>
      </w:pPr>
      <w:r>
        <w:rPr>
          <w:sz w:val="14"/>
          <w:szCs w:val="14"/>
        </w:rPr>
        <w:t xml:space="preserve">(ДПМ, КОМ, НЦЗ. ВР)</w:t>
      </w:r>
    </w:p>
    <w:p>
      <w:r>
        <w:t xml:space="preserve">10.12 Объем недопоставки мощности, МВт (в месячном </w:t>
      </w:r>
      <w:r>
        <w:t xml:space="preserve">выражении)_</w:t>
      </w:r>
      <w:r>
        <w:t xml:space="preserve">____</w:t>
      </w:r>
    </w:p>
    <w:tbl>
      <w:tblPr>
        <w:tblW w:w="5000" w:type="pct"/>
        <w:tblInd w:w="36" w:type="dxa"/>
        <w:tblLayout w:type="fixed"/>
        <w:tblCellMar>
          <w:left w:w="75" w:type="dxa"/>
          <w:top w:w="75" w:type="dxa"/>
          <w:right w:w="75" w:type="dxa"/>
          <w:bottom w:w="75" w:type="dxa"/>
        </w:tblCellMar>
        <w:tblLook w:val="04A0" w:firstRow="1" w:lastRow="0" w:firstColumn="1" w:lastColumn="0" w:noHBand="0" w:noVBand="1"/>
      </w:tblPr>
      <w:tblGrid>
        <w:gridCol w:w="3443"/>
        <w:gridCol w:w="882"/>
        <w:gridCol w:w="3569"/>
        <w:gridCol w:w="1574"/>
      </w:tblGrid>
      <w:tr>
        <w:trPr>
          <w:gridAfter w:val="1"/>
          <w:trHeight w:val="370"/>
        </w:trPr>
        <w:tc>
          <w:tcPr>
            <w:tcW w:w="4169" w:type="pct"/>
            <w:gridSpan w:val="3"/>
            <w:tcMar>
              <w:left w:w="45" w:type="dxa"/>
              <w:right w:w="45" w:type="dxa"/>
            </w:tcMar>
          </w:tcPr>
          <w:p>
            <w:pPr>
              <w:jc w:val="both"/>
            </w:pPr>
            <w:r>
              <w:rPr>
                <w:b/>
              </w:rPr>
              <w:t xml:space="preserve">Подписи</w:t>
            </w:r>
            <w:r>
              <w:t xml:space="preserve"> </w:t>
            </w:r>
          </w:p>
          <w:p>
            <w:pPr>
              <w:jc w:val="both"/>
            </w:pPr>
            <w:r>
              <w:t xml:space="preserve">Председатель:</w:t>
            </w:r>
          </w:p>
        </w:tc>
      </w:tr>
      <w:tr>
        <w:trPr>
          <w:gridAfter w:val="1"/>
          <w:trHeight w:val="120"/>
        </w:trPr>
        <w:tc>
          <w:tcPr>
            <w:tcW w:w="1818" w:type="pct"/>
            <w:tcMar>
              <w:left w:w="45" w:type="dxa"/>
              <w:right w:w="45" w:type="dxa"/>
            </w:tcMar>
          </w:tcPr>
          <w:p>
            <w:pPr>
              <w:ind w:firstLine="480"/>
            </w:pPr>
            <w:r>
              <w:t xml:space="preserve">_______________________</w:t>
            </w:r>
          </w:p>
        </w:tc>
        <w:tc>
          <w:tcPr>
            <w:tcW w:w="466" w:type="pct"/>
            <w:tcMar>
              <w:left w:w="45" w:type="dxa"/>
              <w:right w:w="45" w:type="dxa"/>
            </w:tcMar>
            <w:vAlign w:val="center"/>
          </w:tcPr>
          <w:p>
            <w:pPr>
              <w:jc w:val="both"/>
            </w:pPr>
            <w:r>
              <w:t xml:space="preserve"> </w:t>
            </w:r>
          </w:p>
        </w:tc>
        <w:tc>
          <w:tcPr>
            <w:tcW w:w="1885" w:type="pct"/>
            <w:noWrap/>
            <w:tcMar>
              <w:left w:w="45" w:type="dxa"/>
              <w:right w:w="45" w:type="dxa"/>
            </w:tcMar>
          </w:tcPr>
          <w:p>
            <w:r>
              <w:t xml:space="preserve">_________________</w:t>
            </w:r>
          </w:p>
        </w:tc>
      </w:tr>
      <w:tr>
        <w:trPr>
          <w:trHeight w:val="258"/>
        </w:trP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4"/>
            <w:tcBorders>
              <w:top w:val="none"/>
              <w:left w:val="none"/>
              <w:bottom w:val="none"/>
              <w:right w:val="none"/>
            </w:tcBorders>
            <w:tcMar>
              <w:left w:w="45" w:type="dxa"/>
              <w:right w:w="45" w:type="dxa"/>
            </w:tcMar>
          </w:tcPr>
          <w:p>
            <w:r>
              <w:t xml:space="preserve">Ответственный за оформление акта:</w:t>
            </w:r>
          </w:p>
        </w:tc>
      </w:tr>
    </w:tbl>
    <w:p>
      <w:pPr>
        <w:jc w:val="both"/>
        <w:rPr>
          <w:sz w:val="18"/>
          <w:szCs w:val="18"/>
        </w:rPr>
      </w:pPr>
      <w:r>
        <w:rPr>
          <w:color w:val="000000"/>
          <w:sz w:val="18"/>
          <w:szCs w:val="18"/>
        </w:rPr>
        <w:t xml:space="preserve">  </w:t>
      </w:r>
      <w:r>
        <w:rPr>
          <w:color w:val="000000"/>
          <w:sz w:val="18"/>
          <w:szCs w:val="18"/>
        </w:rPr>
        <w:t xml:space="preserve">Должность:_</w:t>
      </w:r>
      <w:r>
        <w:rPr>
          <w:color w:val="000000"/>
          <w:sz w:val="18"/>
          <w:szCs w:val="18"/>
        </w:rPr>
        <w:t xml:space="preserve">_____________,__________  _________________________________</w:t>
      </w:r>
    </w:p>
    <w:p>
      <w:pPr>
        <w:jc w:val="both"/>
        <w:rPr>
          <w:color w:val="000000"/>
          <w:sz w:val="18"/>
          <w:szCs w:val="18"/>
        </w:rPr>
      </w:pPr>
      <w:r>
        <w:rPr>
          <w:color w:val="000000"/>
          <w:sz w:val="18"/>
          <w:szCs w:val="18"/>
        </w:rPr>
        <w:t xml:space="preserve">              (</w:t>
      </w:r>
      <w:r>
        <w:rPr>
          <w:color w:val="000000"/>
          <w:sz w:val="18"/>
          <w:szCs w:val="18"/>
        </w:rPr>
        <w:t xml:space="preserve">подпись)   </w:t>
      </w:r>
      <w:r>
        <w:rPr>
          <w:color w:val="000000"/>
          <w:sz w:val="18"/>
          <w:szCs w:val="18"/>
        </w:rPr>
        <w:t xml:space="preserve">   (фамилия, инициалы)</w:t>
      </w:r>
    </w:p>
    <w:p>
      <w:pPr>
        <w:jc w:val="both"/>
        <w:rPr>
          <w:color w:val="000000"/>
          <w:sz w:val="18"/>
          <w:szCs w:val="18"/>
        </w:rPr>
      </w:pPr>
    </w:p>
    <w:p>
      <w:pPr>
        <w:jc w:val="both"/>
        <w:rPr>
          <w:color w:val="000000"/>
          <w:sz w:val="18"/>
          <w:szCs w:val="18"/>
        </w:rPr>
      </w:pPr>
    </w:p>
    <w:tbl>
      <w:tblPr>
        <w:tblW w:w="0" w:type="auto"/>
        <w:jc w:val="center"/>
        <w:tblBorders>
          <w:top w:val="none"/>
          <w:left w:val="none"/>
          <w:bottom w:val="none"/>
          <w:right w:val="none"/>
          <w:insideH w:val="none"/>
          <w:insideV w:val="none"/>
        </w:tblBorders>
        <w:tblLook w:val="0000" w:firstRow="0" w:lastRow="0" w:firstColumn="0" w:lastColumn="0" w:noHBand="0" w:noVBand="0"/>
      </w:tblPr>
      <w:tblGrid>
        <w:gridCol w:w="4594"/>
        <w:gridCol w:w="4874"/>
      </w:tblGrid>
      <w:tr>
        <w:trPr>
          <w:jc w:val="center"/>
        </w:trPr>
        <w:tc>
          <w:tcPr>
            <w:tcW w:w="4680" w:type="dxa"/>
            <w:tcBorders>
              <w:top w:val="none"/>
              <w:left w:val="none"/>
              <w:bottom w:val="none"/>
              <w:right w:val="none"/>
            </w:tcBorders>
            <w:shd w:val="clear" w:color="auto" w:fill="auto"/>
          </w:tcPr>
          <w:p>
            <w:pPr>
              <w:pStyle w:val="affd"/>
              <w:rPr>
                <w:szCs w:val="22"/>
              </w:rPr>
            </w:pPr>
            <w:r>
              <w:rPr>
                <w:sz w:val="22"/>
                <w:szCs w:val="22"/>
              </w:rPr>
              <w:t xml:space="preserve">ЗАКАЗЧИК:</w:t>
            </w:r>
          </w:p>
        </w:tc>
        <w:tc>
          <w:tcPr>
            <w:tcW w:w="4962" w:type="dxa"/>
            <w:tcBorders>
              <w:top w:val="none"/>
              <w:left w:val="none"/>
              <w:bottom w:val="none"/>
              <w:right w:val="none"/>
            </w:tcBorders>
            <w:shd w:val="clear" w:color="auto" w:fill="auto"/>
          </w:tcPr>
          <w:p>
            <w:pPr>
              <w:pStyle w:val="affd"/>
              <w:rPr>
                <w:szCs w:val="22"/>
              </w:rPr>
            </w:pPr>
            <w:r>
              <w:rPr>
                <w:sz w:val="22"/>
                <w:szCs w:val="22"/>
              </w:rPr>
              <w:t xml:space="preserve">ПОДРЯДЧИК:</w:t>
            </w:r>
          </w:p>
        </w:tc>
      </w:tr>
      <w:tr>
        <w:trPr>
          <w:jc w:val="center"/>
          <w:trHeight w:val="325"/>
        </w:trPr>
        <w:tc>
          <w:tcPr>
            <w:tcW w:w="4680" w:type="dxa"/>
            <w:tcBorders>
              <w:top w:val="none"/>
              <w:left w:val="none"/>
              <w:bottom w:val="none"/>
              <w:right w:val="none"/>
            </w:tcBorders>
            <w:shd w:val="clear" w:color="auto" w:fill="auto"/>
          </w:tcPr>
          <w:p>
            <w:pPr>
              <w:pStyle w:val="15"/>
              <w:jc w:val="left"/>
              <w:rPr>
                <w:b w:val="0"/>
              </w:rPr>
            </w:pPr>
            <w:r>
              <w:rPr>
                <w:b w:val="0"/>
                <w:sz w:val="22"/>
                <w:szCs w:val="22"/>
              </w:rPr>
              <w:t xml:space="preserve">Директор филиала «Печорская ГРЭС» АО «Интер РАО – </w:t>
            </w:r>
            <w:r>
              <w:rPr>
                <w:b w:val="0"/>
                <w:sz w:val="22"/>
                <w:szCs w:val="22"/>
              </w:rPr>
              <w:t xml:space="preserve">Электрогенерация</w:t>
            </w:r>
            <w:r>
              <w:rPr>
                <w:b w:val="0"/>
                <w:sz w:val="22"/>
                <w:szCs w:val="22"/>
              </w:rPr>
              <w:t xml:space="preserve">»</w:t>
            </w:r>
          </w:p>
        </w:tc>
        <w:tc>
          <w:tcPr>
            <w:tcW w:w="4962" w:type="dxa"/>
            <w:tcBorders>
              <w:top w:val="none"/>
              <w:left w:val="none"/>
              <w:bottom w:val="none"/>
              <w:right w:val="none"/>
            </w:tcBorders>
            <w:shd w:val="clear" w:color="auto" w:fill="auto"/>
          </w:tcPr>
          <w:p>
            <w:bookmarkStart w:id="212" w:name="_GoBack"/>
            <w:bookmarkEnd w:id="212"/>
          </w:p>
        </w:tc>
      </w:tr>
      <w:tr>
        <w:trPr>
          <w:jc w:val="center"/>
          <w:trHeight w:val="338"/>
        </w:trPr>
        <w:tc>
          <w:tcPr>
            <w:tcW w:w="4680" w:type="dxa"/>
            <w:tcBorders>
              <w:top w:val="none"/>
              <w:left w:val="none"/>
              <w:bottom w:val="none"/>
              <w:right w:val="none"/>
            </w:tcBorders>
            <w:shd w:val="clear" w:color="auto" w:fill="auto"/>
          </w:tcPr>
          <w:p>
            <w:pPr>
              <w:pStyle w:val="15"/>
              <w:jc w:val="left"/>
              <w:rPr>
                <w:b w:val="0"/>
              </w:rPr>
            </w:pPr>
            <w:r>
              <w:rPr>
                <w:b w:val="0"/>
              </w:rPr>
              <w:t xml:space="preserve">_________________ </w:t>
            </w:r>
            <w:r>
              <w:rPr>
                <w:b w:val="0"/>
                <w:sz w:val="22"/>
                <w:szCs w:val="22"/>
              </w:rPr>
              <w:t xml:space="preserve">Спицын С.Г.</w:t>
            </w:r>
          </w:p>
          <w:p>
            <w:pPr>
              <w:pStyle w:val="ab"/>
            </w:pPr>
            <w:r>
              <w:t xml:space="preserve">м.п</w:t>
            </w:r>
            <w:r>
              <w:t xml:space="preserve">.</w:t>
            </w:r>
          </w:p>
        </w:tc>
        <w:tc>
          <w:tcPr>
            <w:tcW w:w="4962" w:type="dxa"/>
            <w:tcBorders>
              <w:top w:val="none"/>
              <w:left w:val="none"/>
              <w:bottom w:val="none"/>
              <w:right w:val="none"/>
            </w:tcBorders>
            <w:shd w:val="clear" w:color="auto" w:fill="auto"/>
          </w:tcPr>
          <w:p>
            <w:pPr>
              <w:pStyle w:val="affd"/>
              <w:jc w:val="left"/>
              <w:rPr>
                <w:b w:val="0"/>
                <w:szCs w:val="24"/>
              </w:rPr>
            </w:pPr>
            <w:r>
              <w:rPr>
                <w:b w:val="0"/>
                <w:szCs w:val="24"/>
              </w:rPr>
              <w:t xml:space="preserve">___________________ </w:t>
            </w:r>
            <w:r>
              <w:rPr>
                <w:b w:val="0"/>
                <w:szCs w:val="24"/>
              </w:rPr>
              <w:t xml:space="preserve">/____________</w:t>
            </w:r>
          </w:p>
          <w:p>
            <w:pPr>
              <w:pStyle w:val="affd"/>
              <w:jc w:val="left"/>
              <w:rPr>
                <w:b w:val="0"/>
                <w:szCs w:val="24"/>
              </w:rPr>
            </w:pPr>
            <w:r>
              <w:rPr>
                <w:b w:val="0"/>
              </w:rPr>
              <w:t xml:space="preserve">м.п</w:t>
            </w:r>
            <w:r>
              <w:rPr>
                <w:b w:val="0"/>
              </w:rPr>
              <w:t xml:space="preserve">.</w:t>
            </w:r>
          </w:p>
        </w:tc>
      </w:tr>
    </w:tbl>
    <w:p>
      <w:pPr>
        <w:jc w:val="both"/>
        <w:rPr>
          <w:sz w:val="18"/>
          <w:szCs w:val="18"/>
        </w:rPr>
      </w:pPr>
    </w:p>
    <w:sectPr>
      <w:headerReference w:type="even" r:id="rId13"/>
      <w:headerReference w:type="default" r:id="rId14"/>
      <w:footerReference w:type="even" r:id="rId18"/>
      <w:footerReference w:type="default" r:id="rId19"/>
      <w:footnotePr>
        <w:numRestart w:val="eachSect"/>
      </w:footnotePr>
      <w:pgSz w:w="11906" w:h="16838"/>
      <w:pgMar w:top="1135" w:right="737" w:bottom="851" w:left="1701" w:header="765" w:footer="709" w:gutter="0"/>
      <w:cols w:space="708"/>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mbria">
    <w:panose1 w:val="02040503050406030204"/>
  </w:font>
  <w:font w:name="Cambria Math">
    <w:panose1 w:val="02000603000000000000"/>
  </w:font>
  <w:font w:name="Antiqua">
    <w:panose1 w:val="02000603000000000000"/>
  </w:font>
  <w:font w:name="Tahoma">
    <w:panose1 w:val="020B0604030504040204"/>
  </w:font>
  <w:font w:name="Mangal">
    <w:panose1 w:val="02040503050406030204"/>
  </w:font>
  <w:font w:name="Courier New">
    <w:panose1 w:val="02070409020205020404"/>
  </w:font>
  <w:font w:name="MS Sans Serif">
    <w:panose1 w:val="02000603000000000000"/>
  </w:font>
  <w:font w:name="NTTierce">
    <w:panose1 w:val="02000603000000000000"/>
  </w:font>
  <w:font w:name="Arial">
    <w:panose1 w:val="020B0604020202020204"/>
  </w:font>
  <w:font w:name="Arial Unicode MS">
    <w:panose1 w:val="020B0604020202020204"/>
  </w:font>
  <w:font w:name="Verdana">
    <w:panose1 w:val="020B0604030504040204"/>
  </w:font>
  <w:font w:name="TimesET">
    <w:panose1 w:val="02000603000000000000"/>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2057227464"/>
      <w:docPartObj>
        <w:docPartGallery w:val="Page Numbers (Bottom of Page)"/>
        <w:docPartUnique w:val="true"/>
      </w:docPartObj>
    </w:sdtPr>
    <w:sdtContent>
      <w:p>
        <w:pPr>
          <w:pStyle w:val="ae"/>
          <w:jc w:val="right"/>
        </w:pPr>
        <w:r>
          <w:t xml:space="preserve">От Подрядчика ____________                                                  от Заказчика ____________            </w:t>
        </w:r>
        <w:r>
          <w:fldChar w:fldCharType="begin"/>
        </w:r>
        <w:r>
          <w:instrText xml:space="preserve">PAGE   \* MERGEFORMAT</w:instrText>
        </w:r>
        <w:r>
          <w:fldChar w:fldCharType="separate"/>
        </w:r>
        <w:r>
          <w:t xml:space="preserve">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pPr>
      <w:pStyle w:val="a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e"/>
      <w:jc w:val="right"/>
    </w:pPr>
    <w:r>
      <w:fldChar w:fldCharType="begin"/>
    </w:r>
    <w:r>
      <w:instrText xml:space="preserve">PAGE   \* MERGEFORMAT</w:instrText>
    </w:r>
    <w:r>
      <w:fldChar w:fldCharType="separate"/>
    </w:r>
    <w:r>
      <w:t xml:space="preserve">14</w:t>
    </w:r>
    <w:r>
      <w:fldChar w:fldCharType="end"/>
    </w:r>
  </w:p>
  <w:p>
    <w:pPr>
      <w:pStyle w:val="ae"/>
      <w:ind w:right="360"/>
      <w:jc w:val="center"/>
    </w:pPr>
    <w:r>
      <w:t xml:space="preserve">от Заказчика: ____________                                                                от Подрядчика: _______________</w:t>
    </w:r>
  </w:p>
  <w:p>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pPr>
      <w:pStyle w:val="ae"/>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rPr>
      <w:t xml:space="preserve">35</w:t>
    </w:r>
    <w:r>
      <w:rPr>
        <w:rStyle w:val="af0"/>
      </w:rPr>
      <w:fldChar w:fldCharType="end"/>
    </w:r>
  </w:p>
  <w:p>
    <w:pPr>
      <w:pStyle w:val="ae"/>
      <w:framePr w:wrap="around" w:vAnchor="text" w:hAnchor="page" w:x="11341" w:yAlign="bottom"/>
      <w:ind w:right="360"/>
      <w:rPr>
        <w:rStyle w:val="af0"/>
      </w:rPr>
    </w:pPr>
  </w:p>
  <w:p>
    <w:pPr>
      <w:pStyle w:val="ae"/>
      <w:ind w:right="360"/>
      <w:jc w:val="center"/>
    </w:pPr>
    <w:r>
      <w:t xml:space="preserve">от Заказчика: ____________                                                                от Подрядчика: _______________</w:t>
    </w:r>
  </w:p>
  <w:p>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p>
  </w:footnote>
  <w:footnote w:type="continuationSeparator" w:id="0">
    <w:p>
      <w:r>
        <w:continuationSeparator/>
      </w:r>
    </w:p>
  </w:footnote>
  <w:footnote w:id="1">
    <w:p>
      <w:pPr>
        <w:pStyle w:val="a7"/>
        <w:spacing w:line="200" w:lineRule="exact"/>
        <w:rPr>
          <w:rFonts w:ascii="Arial" w:hAnsi="Arial" w:cs="Arial"/>
          <w:sz w:val="18"/>
          <w:szCs w:val="18"/>
        </w:rPr>
      </w:pPr>
      <w:r>
        <w:rPr>
          <w:rStyle w:val="a6"/>
          <w:rFonts w:ascii="Arial" w:hAnsi="Arial" w:cs="Arial"/>
          <w:sz w:val="18"/>
          <w:szCs w:val="18"/>
        </w:rPr>
        <w:footnoteRef/>
      </w:r>
      <w:r>
        <w:rPr>
          <w:rFonts w:ascii="Arial" w:hAnsi="Arial" w:cs="Arial"/>
          <w:sz w:val="18"/>
          <w:szCs w:val="18"/>
        </w:rPr>
        <w:t xml:space="preserve"> Событие по п.5.6 Методики, зафиксированное при технологическом нарушении, учитывается и расследуется как отдельное событие. </w:t>
      </w:r>
    </w:p>
  </w:footnote>
  <w:footnote w:id="2">
    <w:p>
      <w:pPr>
        <w:pStyle w:val="a7"/>
        <w:spacing w:line="200" w:lineRule="exact"/>
        <w:jc w:val="both"/>
        <w:rPr>
          <w:rFonts w:asciiTheme="minorHAnsi" w:hAnsiTheme="minorHAnsi"/>
          <w:sz w:val="16"/>
          <w:szCs w:val="16"/>
        </w:rPr>
      </w:pPr>
      <w:r>
        <w:rPr>
          <w:rStyle w:val="a6"/>
          <w:sz w:val="18"/>
          <w:szCs w:val="18"/>
        </w:rPr>
        <w:footnoteRef/>
      </w:r>
      <w:r>
        <w:rPr>
          <w:rFonts w:ascii="Arial" w:hAnsi="Arial" w:cs="Arial"/>
          <w:sz w:val="18"/>
          <w:szCs w:val="18"/>
        </w:rPr>
        <w:t xml:space="preserve">Нарушения в работе тепловых энергоустановок, не повлекшие последствия </w:t>
      </w:r>
      <w:r>
        <w:rPr>
          <w:rFonts w:ascii="Arial" w:hAnsi="Arial" w:cs="Arial"/>
          <w:sz w:val="18"/>
          <w:szCs w:val="18"/>
        </w:rPr>
        <w:t xml:space="preserve">п.п</w:t>
      </w:r>
      <w:r>
        <w:rPr>
          <w:rFonts w:ascii="Arial" w:hAnsi="Arial" w:cs="Arial"/>
          <w:sz w:val="18"/>
          <w:szCs w:val="18"/>
        </w:rPr>
        <w:t xml:space="preserve">. 5.10-5.12 настоящей Методики, но приведшие к снижению температуры теплоносителя в подающем трубопроводе в отопительный период на срок до 1 часа на величину от 3% до 30% по сравнению с температурным графиком системы теплоснабжения, подлежат учету и расче</w:t>
      </w:r>
      <w:r>
        <w:rPr>
          <w:rFonts w:ascii="Arial" w:hAnsi="Arial" w:cs="Arial"/>
          <w:sz w:val="18"/>
          <w:szCs w:val="18"/>
        </w:rPr>
        <w:t xml:space="preserve">ту экономического ущерба от них аналогично событиям п.5 Методики, при этом проведение</w:t>
      </w:r>
      <w:r>
        <w:rPr>
          <w:rFonts w:ascii="Arial" w:hAnsi="Arial" w:cs="Arial"/>
          <w:sz w:val="18"/>
          <w:szCs w:val="18"/>
        </w:rPr>
        <w:t xml:space="preserve"> расследования и оформление акта не требуется. Отчетная информация по данным событиям представляется по форме приложения 2, где в столбце 38 указывается «не ТН», в столбце 39 выбирается из всплывающего списка «снижение </w:t>
      </w:r>
      <w:r>
        <w:rPr>
          <w:rFonts w:ascii="Arial" w:hAnsi="Arial" w:cs="Arial"/>
          <w:sz w:val="18"/>
          <w:szCs w:val="18"/>
        </w:rPr>
        <w:t xml:space="preserve">Тпс</w:t>
      </w:r>
      <w:r>
        <w:rPr>
          <w:rFonts w:ascii="Arial" w:hAnsi="Arial" w:cs="Arial"/>
          <w:sz w:val="18"/>
          <w:szCs w:val="18"/>
        </w:rPr>
        <w:t xml:space="preserve"> до 1 часа», столбце 5 указывается «5.12 (сн2)».</w:t>
      </w:r>
    </w:p>
  </w:footnote>
  <w:footnote w:id="3">
    <w:p>
      <w:pPr>
        <w:pStyle w:val="a7"/>
        <w:rPr>
          <w:rFonts w:ascii="Arial" w:hAnsi="Arial" w:cs="Arial"/>
          <w:sz w:val="18"/>
          <w:szCs w:val="18"/>
        </w:rPr>
      </w:pPr>
      <w:r>
        <w:rPr>
          <w:rStyle w:val="a6"/>
          <w:rFonts w:ascii="Arial" w:hAnsi="Arial" w:cs="Arial"/>
          <w:sz w:val="18"/>
          <w:szCs w:val="18"/>
        </w:rPr>
        <w:footnoteRef/>
      </w:r>
      <w:r>
        <w:rPr>
          <w:rFonts w:ascii="Arial" w:hAnsi="Arial" w:cs="Arial"/>
          <w:sz w:val="18"/>
          <w:szCs w:val="18"/>
        </w:rPr>
        <w:t xml:space="preserve">п.5.14 не распространяется на источники теплоснабжения электростанций </w:t>
      </w:r>
    </w:p>
  </w:footnote>
  <w:footnote w:id="4">
    <w:p>
      <w:pPr>
        <w:pStyle w:val="a7"/>
        <w:rPr>
          <w:rFonts w:ascii="Arial" w:hAnsi="Arial" w:cs="Arial"/>
        </w:rPr>
      </w:pPr>
      <w:r>
        <w:rPr>
          <w:rStyle w:val="a6"/>
          <w:rFonts w:ascii="Arial" w:hAnsi="Arial" w:cs="Arial"/>
          <w:sz w:val="18"/>
          <w:szCs w:val="18"/>
        </w:rPr>
        <w:footnoteRef/>
      </w:r>
      <w:r>
        <w:rPr>
          <w:rFonts w:ascii="Arial" w:hAnsi="Arial" w:cs="Arial"/>
          <w:sz w:val="18"/>
          <w:szCs w:val="18"/>
        </w:rPr>
        <w:t xml:space="preserve"> в том числе квартальных ТС</w:t>
      </w:r>
    </w:p>
  </w:footnote>
  <w:footnote w:id="5">
    <w:p>
      <w:pPr>
        <w:pStyle w:val="a7"/>
        <w:rPr>
          <w:rFonts w:asciiTheme="minorHAnsi" w:hAnsiTheme="minorHAnsi"/>
        </w:rPr>
      </w:pPr>
      <w:r>
        <w:rPr>
          <w:rFonts w:asciiTheme="minorHAnsi" w:hAnsiTheme="minorHAnsi"/>
        </w:rPr>
        <w:footnoteRef/>
      </w:r>
      <w:r>
        <w:rPr>
          <w:rFonts w:asciiTheme="minorHAnsi" w:hAnsiTheme="minorHAnsi"/>
        </w:rPr>
        <w:t xml:space="preserve"> </w:t>
      </w:r>
      <w:r>
        <w:rPr>
          <w:rFonts w:asciiTheme="minorHAnsi" w:hAnsiTheme="minorHAnsi"/>
        </w:rPr>
        <w:t xml:space="preserve">Порядок расчета стоимость потерь при повреждениях трубопроводов ГВС аналогичен расчету </w:t>
      </w:r>
      <w:r>
        <w:rPr>
          <w:rFonts w:asciiTheme="minorHAnsi" w:hAnsiTheme="minorHAnsi"/>
        </w:rPr>
        <w:t xml:space="preserve">потерь сетевой воды при повреждениях трубопроводов тепловых сетей</w:t>
      </w:r>
    </w:p>
  </w:footnote>
  <w:footnote w:id="6">
    <w:p>
      <w:pPr>
        <w:pStyle w:val="a7"/>
        <w:rPr>
          <w:rFonts w:asciiTheme="minorHAnsi" w:hAnsiTheme="minorHAnsi"/>
        </w:rPr>
      </w:pPr>
      <w:r>
        <w:rPr>
          <w:rStyle w:val="a6"/>
        </w:rPr>
        <w:footnoteRef/>
      </w:r>
      <w:r>
        <w:t xml:space="preserve"> </w:t>
      </w:r>
      <w:r>
        <w:rPr>
          <w:rFonts w:asciiTheme="minorHAnsi" w:hAnsiTheme="minorHAnsi"/>
        </w:rPr>
        <w:t xml:space="preserve">При утверждении ВНД (п.7.4 Методики) форма акта для событий «официального учета» может отличаться и должна быть приведена в соответствие установленным требованиям государственных НПА (при наличии)</w:t>
      </w:r>
    </w:p>
  </w:footnote>
  <w:footnote w:id="7">
    <w:p>
      <w:pPr>
        <w:pStyle w:val="a7"/>
        <w:rPr>
          <w:rFonts w:asciiTheme="minorHAnsi" w:hAnsiTheme="minorHAnsi"/>
        </w:rPr>
      </w:pPr>
      <w:r>
        <w:rPr>
          <w:rStyle w:val="a6"/>
        </w:rPr>
        <w:footnoteRef/>
      </w:r>
      <w:r>
        <w:t xml:space="preserve"> </w:t>
      </w:r>
      <w:r>
        <w:rPr>
          <w:rFonts w:asciiTheme="minorHAnsi" w:hAnsiTheme="minorHAnsi"/>
        </w:rPr>
        <w:t xml:space="preserve">Оформляется на отдельном листе</w:t>
      </w:r>
    </w:p>
    <w:p>
      <w:pPr>
        <w:pStyle w:val="a7"/>
        <w:rPr>
          <w:rFonts w:asciiTheme="minorHAnsi" w:hAnsiTheme="minorHAns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646"/>
      <w:gridCol w:w="4649"/>
      <w:gridCol w:w="2344"/>
    </w:tblGrid>
    <w:tr>
      <w:trPr>
        <w:cantSplit/>
        <w:trHeight w:val="242"/>
      </w:trPr>
      <w:tc>
        <w:tcPr>
          <w:tcW w:w="2445" w:type="dxa"/>
          <w:vMerge w:val="restart"/>
          <w:vAlign w:val="center"/>
        </w:tcPr>
        <w:p>
          <w:pPr>
            <w:pStyle w:val="af8"/>
            <w:jc w:val="center"/>
            <w:rPr>
              <w:b/>
              <w:bCs/>
              <w:sz w:val="20"/>
            </w:rPr>
          </w:pPr>
          <w:r>
            <w:rPr>
              <w:sz w:val="20"/>
            </w:rPr>
            <mc:AlternateContent>
              <mc:Choice Requires="wpg">
                <w:drawing>
                  <wp:inline xmlns:wp="http://schemas.openxmlformats.org/drawingml/2006/wordprocessingDrawing" distT="0" distB="0" distL="0" distR="0">
                    <wp:extent cx="1543050" cy="552450"/>
                    <wp:effectExtent l="0" t="0" r="0" b="0"/>
                    <wp:docPr id="1" name="Рисунок 5" descr="cid:image001.jpg@01D27666.328F4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1.jpg@01D27666.328F4E80"/>
                            <pic:cNvPicPr>
                              <a:picLocks noChangeAspect="1" noChangeArrowheads="1"/>
                            </pic:cNvPicPr>
                            <pic:nvPr/>
                          </pic:nvPicPr>
                          <pic:blipFill>
                            <a:blip r:link="cid:image001.jpg@01D27666.328F4E80"/>
                            <a:srcRect/>
                            <a:stretch/>
                          </pic:blipFill>
                          <pic:spPr bwMode="auto">
                            <a:xfrm>
                              <a:off x="0" y="0"/>
                              <a:ext cx="1552575" cy="555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21.50pt;height:43.50pt;mso-wrap-distance-left:0.00pt;mso-wrap-distance-top:0.00pt;mso-wrap-distance-right:0.00pt;mso-wrap-distance-bottom:0.00pt;" stroked="f">
                    <v:path textboxrect="0,0,0,0"/>
                  </v:shape>
                </w:pict>
              </mc:Fallback>
            </mc:AlternateContent>
          </w:r>
        </w:p>
      </w:tc>
      <w:tc>
        <w:tcPr>
          <w:tcW w:w="4785" w:type="dxa"/>
          <w:vMerge w:val="restart"/>
          <w:vAlign w:val="center"/>
        </w:tcPr>
        <w:p>
          <w:pPr>
            <w:pStyle w:val="af8"/>
            <w:jc w:val="center"/>
            <w:rPr>
              <w:rFonts w:ascii="Arial" w:hAnsi="Arial" w:cs="Arial"/>
            </w:rPr>
          </w:pPr>
          <w:r>
            <w:rPr>
              <w:rFonts w:ascii="Arial" w:hAnsi="Arial" w:cs="Arial"/>
            </w:rPr>
            <w:t xml:space="preserve">Методика</w:t>
          </w:r>
        </w:p>
        <w:p>
          <w:pPr>
            <w:pStyle w:val="af8"/>
            <w:jc w:val="center"/>
            <w:rPr>
              <w:rFonts w:ascii="Arial" w:hAnsi="Arial" w:cs="Arial"/>
            </w:rPr>
          </w:pPr>
          <w:r>
            <w:rPr>
              <w:rFonts w:ascii="Arial" w:hAnsi="Arial" w:cs="Arial"/>
            </w:rPr>
            <w:t xml:space="preserve">«</w:t>
          </w:r>
          <w:r>
            <w:rPr>
              <w:rFonts w:ascii="Arial" w:hAnsi="Arial" w:cs="Arial"/>
            </w:rPr>
            <w:t xml:space="preserve">Учет</w:t>
          </w:r>
          <w:r>
            <w:rPr>
              <w:rFonts w:ascii="Arial" w:hAnsi="Arial" w:cs="Arial"/>
            </w:rPr>
            <w:t xml:space="preserve"> аварий и нарушений в работе энергооборудования</w:t>
          </w:r>
          <w:r>
            <w:rPr>
              <w:rFonts w:ascii="Arial" w:hAnsi="Arial" w:cs="Arial"/>
            </w:rPr>
            <w:t xml:space="preserve"> и расчет</w:t>
          </w:r>
          <w:r>
            <w:rPr>
              <w:rFonts w:ascii="Arial" w:hAnsi="Arial" w:cs="Arial"/>
            </w:rPr>
            <w:t xml:space="preserve"> экономического ущерба от них</w:t>
          </w:r>
          <w:r>
            <w:rPr>
              <w:rFonts w:ascii="Arial" w:hAnsi="Arial" w:cs="Arial"/>
            </w:rPr>
            <w:t xml:space="preserve"> в филиалах АО «Интер РАО - </w:t>
          </w:r>
          <w:r>
            <w:rPr>
              <w:rFonts w:ascii="Arial" w:hAnsi="Arial" w:cs="Arial"/>
            </w:rPr>
            <w:t xml:space="preserve">Электрогенерация</w:t>
          </w:r>
          <w:r>
            <w:rPr>
              <w:rFonts w:ascii="Arial" w:hAnsi="Arial" w:cs="Arial"/>
            </w:rPr>
            <w:t xml:space="preserve">»</w:t>
          </w:r>
        </w:p>
      </w:tc>
      <w:tc>
        <w:tcPr>
          <w:tcW w:w="2409" w:type="dxa"/>
          <w:vAlign w:val="center"/>
        </w:tcPr>
        <w:p>
          <w:pPr>
            <w:pStyle w:val="af8"/>
            <w:jc w:val="center"/>
            <w:rPr>
              <w:rFonts w:ascii="Arial" w:hAnsi="Arial" w:cs="Arial"/>
            </w:rPr>
          </w:pPr>
          <w:r>
            <w:rPr>
              <w:rFonts w:ascii="Arial" w:hAnsi="Arial" w:cs="Arial"/>
            </w:rPr>
            <w:t xml:space="preserve">МТ</w:t>
          </w:r>
          <w:r>
            <w:rPr>
              <w:rFonts w:ascii="Arial" w:hAnsi="Arial" w:cs="Arial"/>
            </w:rPr>
            <w:t xml:space="preserve">-</w:t>
          </w:r>
          <w:r>
            <w:rPr>
              <w:rFonts w:ascii="Arial" w:hAnsi="Arial" w:cs="Arial"/>
            </w:rPr>
            <w:t xml:space="preserve">039</w:t>
          </w:r>
          <w:r>
            <w:rPr>
              <w:rFonts w:ascii="Arial" w:hAnsi="Arial" w:cs="Arial"/>
            </w:rPr>
            <w:t xml:space="preserve">-</w:t>
          </w:r>
          <w:r>
            <w:rPr>
              <w:rFonts w:ascii="Arial" w:hAnsi="Arial" w:cs="Arial"/>
            </w:rPr>
            <w:t xml:space="preserve">3</w:t>
          </w:r>
        </w:p>
      </w:tc>
    </w:tr>
    <w:tr>
      <w:trPr>
        <w:cantSplit/>
        <w:trHeight w:val="329"/>
      </w:trPr>
      <w:tc>
        <w:tcPr>
          <w:tcW w:w="2445" w:type="dxa"/>
          <w:vMerge w:val="continue"/>
          <w:vAlign w:val="center"/>
        </w:tcPr>
        <w:p>
          <w:pPr>
            <w:pStyle w:val="af8"/>
            <w:jc w:val="center"/>
            <w:rPr>
              <w:sz w:val="20"/>
            </w:rPr>
          </w:pPr>
        </w:p>
      </w:tc>
      <w:tc>
        <w:tcPr>
          <w:tcW w:w="4785" w:type="dxa"/>
          <w:vMerge w:val="continue"/>
        </w:tcPr>
        <w:p>
          <w:pPr>
            <w:spacing w:line="360" w:lineRule="auto"/>
            <w:jc w:val="center"/>
            <w:rPr>
              <w:b/>
              <w:bCs/>
              <w:sz w:val="20"/>
            </w:rPr>
          </w:pPr>
        </w:p>
      </w:tc>
      <w:tc>
        <w:tcPr>
          <w:tcW w:w="2409" w:type="dxa"/>
          <w:vAlign w:val="center"/>
        </w:tcPr>
        <w:p>
          <w:pPr>
            <w:pStyle w:val="af8"/>
            <w:jc w:val="center"/>
            <w:rPr>
              <w:rFonts w:ascii="Arial" w:hAnsi="Arial" w:cs="Arial"/>
            </w:rPr>
          </w:pPr>
          <w:r>
            <w:rPr>
              <w:rFonts w:ascii="Arial" w:hAnsi="Arial" w:cs="Arial"/>
              <w:sz w:val="16"/>
            </w:rPr>
            <w:t xml:space="preserve">Для внутреннего использования</w:t>
          </w:r>
        </w:p>
      </w:tc>
    </w:tr>
  </w:tbl>
  <w:p>
    <w:pPr>
      <w:pStyle w:val="a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8"/>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pPr>
      <w:pStyle w:val="a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95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646"/>
      <w:gridCol w:w="5090"/>
      <w:gridCol w:w="2216"/>
    </w:tblGrid>
    <w:tr>
      <w:trPr>
        <w:cantSplit/>
        <w:trHeight w:val="242"/>
      </w:trPr>
      <w:tc>
        <w:tcPr>
          <w:tcW w:w="2445" w:type="dxa"/>
          <w:vMerge w:val="restart"/>
          <w:vAlign w:val="center"/>
        </w:tcPr>
        <w:p>
          <w:pPr>
            <w:pStyle w:val="af8"/>
            <w:jc w:val="center"/>
            <w:rPr>
              <w:b/>
              <w:bCs/>
              <w:sz w:val="20"/>
            </w:rPr>
          </w:pPr>
          <w:r>
            <w:rPr>
              <w:sz w:val="20"/>
            </w:rPr>
            <mc:AlternateContent>
              <mc:Choice Requires="wpg">
                <w:drawing>
                  <wp:inline xmlns:wp="http://schemas.openxmlformats.org/drawingml/2006/wordprocessingDrawing" distT="0" distB="0" distL="0" distR="0">
                    <wp:extent cx="1543050" cy="552450"/>
                    <wp:effectExtent l="0" t="0" r="0" b="0"/>
                    <wp:docPr id="2" name="Рисунок 1" descr="cid:image001.jpg@01D27666.328F4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1.jpg@01D27666.328F4E80"/>
                            <pic:cNvPicPr>
                              <a:picLocks noChangeAspect="1" noChangeArrowheads="1"/>
                            </pic:cNvPicPr>
                            <pic:nvPr/>
                          </pic:nvPicPr>
                          <pic:blipFill>
                            <a:blip r:link="cid:image001.jpg@01D27666.328F4E80"/>
                            <a:srcRect/>
                            <a:stretch/>
                          </pic:blipFill>
                          <pic:spPr bwMode="auto">
                            <a:xfrm>
                              <a:off x="0" y="0"/>
                              <a:ext cx="1552575" cy="555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121.50pt;height:43.50pt;mso-wrap-distance-left:0.00pt;mso-wrap-distance-top:0.00pt;mso-wrap-distance-right:0.00pt;mso-wrap-distance-bottom:0.00pt;" stroked="f">
                    <v:path textboxrect="0,0,0,0"/>
                  </v:shape>
                </w:pict>
              </mc:Fallback>
            </mc:AlternateContent>
          </w:r>
        </w:p>
      </w:tc>
      <w:tc>
        <w:tcPr>
          <w:tcW w:w="5239" w:type="dxa"/>
          <w:vMerge w:val="restart"/>
          <w:vAlign w:val="center"/>
        </w:tcPr>
        <w:p>
          <w:pPr>
            <w:pStyle w:val="af8"/>
            <w:jc w:val="center"/>
            <w:rPr>
              <w:rFonts w:ascii="Arial" w:hAnsi="Arial" w:cs="Arial"/>
            </w:rPr>
          </w:pPr>
          <w:r>
            <w:rPr>
              <w:rFonts w:ascii="Arial" w:hAnsi="Arial" w:cs="Arial"/>
            </w:rPr>
            <w:t xml:space="preserve">Методика</w:t>
          </w:r>
        </w:p>
        <w:p>
          <w:pPr>
            <w:pStyle w:val="af8"/>
            <w:jc w:val="center"/>
            <w:rPr>
              <w:rFonts w:ascii="Arial" w:hAnsi="Arial" w:cs="Arial"/>
            </w:rPr>
          </w:pPr>
          <w:r>
            <w:rPr>
              <w:rFonts w:ascii="Arial" w:hAnsi="Arial" w:cs="Arial"/>
            </w:rPr>
            <w:t xml:space="preserve">«</w:t>
          </w:r>
          <w:r>
            <w:rPr>
              <w:rFonts w:ascii="Arial" w:hAnsi="Arial" w:cs="Arial"/>
            </w:rPr>
            <w:t xml:space="preserve">Учет</w:t>
          </w:r>
          <w:r>
            <w:rPr>
              <w:rFonts w:ascii="Arial" w:hAnsi="Arial" w:cs="Arial"/>
            </w:rPr>
            <w:t xml:space="preserve"> аварий и нарушений в работе энергооборудования</w:t>
          </w:r>
          <w:r>
            <w:rPr>
              <w:rFonts w:ascii="Arial" w:hAnsi="Arial" w:cs="Arial"/>
            </w:rPr>
            <w:t xml:space="preserve"> и расчет</w:t>
          </w:r>
          <w:r>
            <w:rPr>
              <w:rFonts w:ascii="Arial" w:hAnsi="Arial" w:cs="Arial"/>
            </w:rPr>
            <w:t xml:space="preserve"> экономического ущерба от них</w:t>
          </w:r>
          <w:r>
            <w:rPr>
              <w:rFonts w:ascii="Arial" w:hAnsi="Arial" w:cs="Arial"/>
            </w:rPr>
            <w:t xml:space="preserve"> в филиалах АО «Интер РАО - </w:t>
          </w:r>
          <w:r>
            <w:rPr>
              <w:rFonts w:ascii="Arial" w:hAnsi="Arial" w:cs="Arial"/>
            </w:rPr>
            <w:t xml:space="preserve">Электрогенерация</w:t>
          </w:r>
          <w:r>
            <w:rPr>
              <w:rFonts w:ascii="Arial" w:hAnsi="Arial" w:cs="Arial"/>
            </w:rPr>
            <w:t xml:space="preserve">»</w:t>
          </w:r>
        </w:p>
      </w:tc>
      <w:tc>
        <w:tcPr>
          <w:tcW w:w="2268" w:type="dxa"/>
          <w:vAlign w:val="center"/>
        </w:tcPr>
        <w:p>
          <w:pPr>
            <w:pStyle w:val="af8"/>
            <w:jc w:val="center"/>
            <w:rPr>
              <w:rFonts w:ascii="Arial" w:hAnsi="Arial" w:cs="Arial"/>
            </w:rPr>
          </w:pPr>
          <w:r>
            <w:rPr>
              <w:rFonts w:ascii="Arial" w:hAnsi="Arial" w:cs="Arial"/>
            </w:rPr>
            <w:t xml:space="preserve">МТ</w:t>
          </w:r>
          <w:r>
            <w:rPr>
              <w:rFonts w:ascii="Arial" w:hAnsi="Arial" w:cs="Arial"/>
            </w:rPr>
            <w:t xml:space="preserve">-</w:t>
          </w:r>
          <w:r>
            <w:rPr>
              <w:rFonts w:ascii="Arial" w:hAnsi="Arial" w:cs="Arial"/>
            </w:rPr>
            <w:t xml:space="preserve">039</w:t>
          </w:r>
          <w:r>
            <w:rPr>
              <w:rFonts w:ascii="Arial" w:hAnsi="Arial" w:cs="Arial"/>
            </w:rPr>
            <w:t xml:space="preserve">-</w:t>
          </w:r>
          <w:r>
            <w:rPr>
              <w:rFonts w:ascii="Arial" w:hAnsi="Arial" w:cs="Arial"/>
            </w:rPr>
            <w:t xml:space="preserve">3</w:t>
          </w:r>
        </w:p>
      </w:tc>
    </w:tr>
    <w:tr>
      <w:trPr>
        <w:cantSplit/>
        <w:trHeight w:val="329"/>
      </w:trPr>
      <w:tc>
        <w:tcPr>
          <w:tcW w:w="2445" w:type="dxa"/>
          <w:vMerge w:val="continue"/>
          <w:vAlign w:val="center"/>
        </w:tcPr>
        <w:p>
          <w:pPr>
            <w:pStyle w:val="af8"/>
            <w:jc w:val="center"/>
            <w:rPr>
              <w:sz w:val="20"/>
            </w:rPr>
          </w:pPr>
        </w:p>
      </w:tc>
      <w:tc>
        <w:tcPr>
          <w:tcW w:w="5239" w:type="dxa"/>
          <w:vMerge w:val="continue"/>
        </w:tcPr>
        <w:p>
          <w:pPr>
            <w:spacing w:line="360" w:lineRule="auto"/>
            <w:jc w:val="center"/>
            <w:rPr>
              <w:b/>
              <w:bCs/>
              <w:sz w:val="20"/>
            </w:rPr>
          </w:pPr>
        </w:p>
      </w:tc>
      <w:tc>
        <w:tcPr>
          <w:tcW w:w="2268" w:type="dxa"/>
          <w:vAlign w:val="center"/>
        </w:tcPr>
        <w:p>
          <w:pPr>
            <w:pStyle w:val="af8"/>
            <w:jc w:val="center"/>
            <w:rPr>
              <w:rFonts w:ascii="Arial" w:hAnsi="Arial" w:cs="Arial"/>
            </w:rPr>
          </w:pPr>
          <w:r>
            <w:rPr>
              <w:rFonts w:ascii="Arial" w:hAnsi="Arial" w:cs="Arial"/>
              <w:sz w:val="16"/>
            </w:rPr>
            <w:t xml:space="preserve">Для внутреннего использования</w:t>
          </w:r>
        </w:p>
      </w:tc>
    </w:tr>
  </w:tbl>
  <w:p>
    <w:pPr>
      <w:pStyle w:val="af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922"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646"/>
      <w:gridCol w:w="5462"/>
      <w:gridCol w:w="1814"/>
    </w:tblGrid>
    <w:tr>
      <w:trPr>
        <w:cantSplit/>
        <w:trHeight w:val="242"/>
      </w:trPr>
      <w:tc>
        <w:tcPr>
          <w:tcW w:w="2445" w:type="dxa"/>
          <w:vMerge w:val="restart"/>
          <w:vAlign w:val="center"/>
        </w:tcPr>
        <w:p>
          <w:pPr>
            <w:pStyle w:val="af8"/>
            <w:jc w:val="center"/>
            <w:rPr>
              <w:b/>
              <w:bCs/>
              <w:sz w:val="20"/>
            </w:rPr>
          </w:pPr>
          <w:r>
            <w:rPr>
              <w:sz w:val="20"/>
            </w:rPr>
            <mc:AlternateContent>
              <mc:Choice Requires="wpg">
                <w:drawing>
                  <wp:inline xmlns:wp="http://schemas.openxmlformats.org/drawingml/2006/wordprocessingDrawing" distT="0" distB="0" distL="0" distR="0">
                    <wp:extent cx="1543050" cy="552450"/>
                    <wp:effectExtent l="0" t="0" r="0" b="0"/>
                    <wp:docPr id="3" name="Рисунок 2" descr="cid:image001.jpg@01D27666.328F4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1.jpg@01D27666.328F4E80"/>
                            <pic:cNvPicPr>
                              <a:picLocks noChangeAspect="1" noChangeArrowheads="1"/>
                            </pic:cNvPicPr>
                            <pic:nvPr/>
                          </pic:nvPicPr>
                          <pic:blipFill>
                            <a:blip r:link="cid:image001.jpg@01D27666.328F4E80"/>
                            <a:srcRect/>
                            <a:stretch/>
                          </pic:blipFill>
                          <pic:spPr bwMode="auto">
                            <a:xfrm>
                              <a:off x="0" y="0"/>
                              <a:ext cx="1552575" cy="55586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121.50pt;height:43.50pt;mso-wrap-distance-left:0.00pt;mso-wrap-distance-top:0.00pt;mso-wrap-distance-right:0.00pt;mso-wrap-distance-bottom:0.00pt;" stroked="f">
                    <v:path textboxrect="0,0,0,0"/>
                  </v:shape>
                </w:pict>
              </mc:Fallback>
            </mc:AlternateContent>
          </w:r>
        </w:p>
      </w:tc>
      <w:tc>
        <w:tcPr>
          <w:tcW w:w="5635" w:type="dxa"/>
          <w:vMerge w:val="restart"/>
          <w:vAlign w:val="center"/>
        </w:tcPr>
        <w:p>
          <w:pPr>
            <w:pStyle w:val="af8"/>
            <w:jc w:val="center"/>
            <w:rPr>
              <w:rFonts w:ascii="Arial" w:hAnsi="Arial" w:cs="Arial"/>
            </w:rPr>
          </w:pPr>
          <w:r>
            <w:rPr>
              <w:rFonts w:ascii="Arial" w:hAnsi="Arial" w:cs="Arial"/>
            </w:rPr>
            <w:t xml:space="preserve">Методика</w:t>
          </w:r>
        </w:p>
        <w:p>
          <w:pPr>
            <w:pStyle w:val="af8"/>
            <w:jc w:val="center"/>
            <w:rPr>
              <w:rFonts w:ascii="Arial" w:hAnsi="Arial" w:cs="Arial"/>
              <w:bCs/>
              <w:sz w:val="28"/>
              <w:szCs w:val="28"/>
            </w:rPr>
          </w:pPr>
          <w:r>
            <w:rPr>
              <w:rFonts w:ascii="Arial" w:hAnsi="Arial" w:cs="Arial"/>
            </w:rPr>
            <w:t xml:space="preserve">«</w:t>
          </w:r>
          <w:r>
            <w:rPr>
              <w:rFonts w:ascii="Arial" w:hAnsi="Arial" w:cs="Arial"/>
            </w:rPr>
            <w:t xml:space="preserve">Учет</w:t>
          </w:r>
          <w:r>
            <w:rPr>
              <w:rFonts w:ascii="Arial" w:hAnsi="Arial" w:cs="Arial"/>
            </w:rPr>
            <w:t xml:space="preserve"> аварий и нарушений в работе энергооборудования</w:t>
          </w:r>
          <w:r>
            <w:rPr>
              <w:rFonts w:ascii="Arial" w:hAnsi="Arial" w:cs="Arial"/>
            </w:rPr>
            <w:t xml:space="preserve"> и расчет</w:t>
          </w:r>
          <w:r>
            <w:rPr>
              <w:rFonts w:ascii="Arial" w:hAnsi="Arial" w:cs="Arial"/>
            </w:rPr>
            <w:t xml:space="preserve"> экономического ущерба от них</w:t>
          </w:r>
          <w:r>
            <w:rPr>
              <w:rFonts w:ascii="Arial" w:hAnsi="Arial" w:cs="Arial"/>
            </w:rPr>
            <w:t xml:space="preserve"> в филиалах АО «Интер РАО - </w:t>
          </w:r>
          <w:r>
            <w:rPr>
              <w:rFonts w:ascii="Arial" w:hAnsi="Arial" w:cs="Arial"/>
            </w:rPr>
            <w:t xml:space="preserve">Электрогенерация</w:t>
          </w:r>
          <w:r>
            <w:rPr>
              <w:rFonts w:ascii="Arial" w:hAnsi="Arial" w:cs="Arial"/>
            </w:rPr>
            <w:t xml:space="preserve">»</w:t>
          </w:r>
        </w:p>
      </w:tc>
      <w:tc>
        <w:tcPr>
          <w:tcW w:w="1842" w:type="dxa"/>
          <w:vAlign w:val="center"/>
        </w:tcPr>
        <w:p>
          <w:pPr>
            <w:pStyle w:val="af8"/>
            <w:jc w:val="center"/>
            <w:rPr>
              <w:rFonts w:ascii="Arial" w:hAnsi="Arial" w:cs="Arial"/>
              <w:lang w:val="en-US"/>
            </w:rPr>
          </w:pPr>
          <w:r>
            <w:rPr>
              <w:rFonts w:ascii="Arial" w:hAnsi="Arial" w:cs="Arial"/>
            </w:rPr>
            <w:t xml:space="preserve">МТ</w:t>
          </w:r>
          <w:r>
            <w:rPr>
              <w:rFonts w:ascii="Arial" w:hAnsi="Arial" w:cs="Arial"/>
            </w:rPr>
            <w:t xml:space="preserve">-</w:t>
          </w:r>
          <w:r>
            <w:rPr>
              <w:rFonts w:ascii="Arial" w:hAnsi="Arial" w:cs="Arial"/>
            </w:rPr>
            <w:t xml:space="preserve">039</w:t>
          </w:r>
          <w:r>
            <w:rPr>
              <w:rFonts w:ascii="Arial" w:hAnsi="Arial" w:cs="Arial"/>
            </w:rPr>
            <w:t xml:space="preserve">-</w:t>
          </w:r>
          <w:r>
            <w:rPr>
              <w:rFonts w:ascii="Arial" w:hAnsi="Arial" w:cs="Arial"/>
              <w:lang w:val="en-US"/>
            </w:rPr>
            <w:t xml:space="preserve">3</w:t>
          </w:r>
        </w:p>
      </w:tc>
    </w:tr>
    <w:tr>
      <w:trPr>
        <w:cantSplit/>
        <w:trHeight w:val="329"/>
      </w:trPr>
      <w:tc>
        <w:tcPr>
          <w:tcW w:w="2445" w:type="dxa"/>
          <w:vMerge w:val="continue"/>
          <w:vAlign w:val="center"/>
        </w:tcPr>
        <w:p>
          <w:pPr>
            <w:pStyle w:val="af8"/>
            <w:jc w:val="center"/>
            <w:rPr>
              <w:sz w:val="20"/>
            </w:rPr>
          </w:pPr>
        </w:p>
      </w:tc>
      <w:tc>
        <w:tcPr>
          <w:tcW w:w="5635" w:type="dxa"/>
          <w:vMerge w:val="continue"/>
        </w:tcPr>
        <w:p>
          <w:pPr>
            <w:spacing w:line="360" w:lineRule="auto"/>
            <w:jc w:val="center"/>
            <w:rPr>
              <w:b/>
              <w:bCs/>
              <w:sz w:val="20"/>
            </w:rPr>
          </w:pPr>
        </w:p>
      </w:tc>
      <w:tc>
        <w:tcPr>
          <w:tcW w:w="1842" w:type="dxa"/>
          <w:vAlign w:val="center"/>
        </w:tcPr>
        <w:p>
          <w:pPr>
            <w:pStyle w:val="af8"/>
            <w:jc w:val="center"/>
            <w:rPr>
              <w:rFonts w:ascii="Arial" w:hAnsi="Arial" w:cs="Arial"/>
            </w:rPr>
          </w:pPr>
          <w:r>
            <w:rPr>
              <w:rFonts w:ascii="Arial" w:hAnsi="Arial" w:cs="Arial"/>
              <w:sz w:val="16"/>
            </w:rPr>
            <w:t xml:space="preserve">Для внутреннего использования</w:t>
          </w:r>
        </w:p>
      </w:tc>
    </w:tr>
  </w:tbl>
  <w:p>
    <w:pPr>
      <w:pStyle w:val="af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af8"/>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pPr>
      <w:pStyle w:val="af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95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646"/>
      <w:gridCol w:w="5090"/>
      <w:gridCol w:w="2216"/>
    </w:tblGrid>
    <w:tr>
      <w:trPr>
        <w:cantSplit/>
        <w:trHeight w:val="242"/>
      </w:trPr>
      <w:tc>
        <w:tcPr>
          <w:tcW w:w="2445" w:type="dxa"/>
          <w:vMerge w:val="restart"/>
          <w:vAlign w:val="center"/>
        </w:tcPr>
        <w:p>
          <w:pPr>
            <w:pStyle w:val="af8"/>
            <w:jc w:val="center"/>
            <w:rPr>
              <w:b/>
              <w:bCs/>
              <w:sz w:val="20"/>
            </w:rPr>
          </w:pPr>
          <w:r>
            <w:rPr>
              <w:sz w:val="20"/>
            </w:rPr>
            <mc:AlternateContent>
              <mc:Choice Requires="wpg">
                <w:drawing>
                  <wp:inline xmlns:wp="http://schemas.openxmlformats.org/drawingml/2006/wordprocessingDrawing" distT="0" distB="0" distL="0" distR="0">
                    <wp:extent cx="1543050" cy="552450"/>
                    <wp:effectExtent l="0" t="0" r="0" b="0"/>
                    <wp:docPr id="4" name="Рисунок 10" descr="cid:image001.jpg@01D27666.328F4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id:image001.jpg@01D27666.328F4E80"/>
                            <pic:cNvPicPr>
                              <a:picLocks noChangeAspect="1" noChangeArrowheads="1"/>
                            </pic:cNvPicPr>
                            <pic:nvPr/>
                          </pic:nvPicPr>
                          <pic:blipFill>
                            <a:blip r:link="cid:image001.jpg@01D27666.328F4E80"/>
                            <a:srcRect/>
                            <a:stretch/>
                          </pic:blipFill>
                          <pic:spPr bwMode="auto">
                            <a:xfrm>
                              <a:off x="0" y="0"/>
                              <a:ext cx="1552575" cy="555860"/>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21.50pt;height:43.50pt;mso-wrap-distance-left:0.00pt;mso-wrap-distance-top:0.00pt;mso-wrap-distance-right:0.00pt;mso-wrap-distance-bottom:0.00pt;" stroked="f">
                    <v:path textboxrect="0,0,0,0"/>
                  </v:shape>
                </w:pict>
              </mc:Fallback>
            </mc:AlternateContent>
          </w:r>
        </w:p>
      </w:tc>
      <w:tc>
        <w:tcPr>
          <w:tcW w:w="5239" w:type="dxa"/>
          <w:vMerge w:val="restart"/>
          <w:vAlign w:val="center"/>
        </w:tcPr>
        <w:p>
          <w:pPr>
            <w:pStyle w:val="af8"/>
            <w:jc w:val="center"/>
            <w:rPr>
              <w:rFonts w:ascii="Arial" w:hAnsi="Arial" w:cs="Arial"/>
            </w:rPr>
          </w:pPr>
          <w:r>
            <w:rPr>
              <w:rFonts w:ascii="Arial" w:hAnsi="Arial" w:cs="Arial"/>
            </w:rPr>
            <w:t xml:space="preserve">Методика</w:t>
          </w:r>
        </w:p>
        <w:p>
          <w:pPr>
            <w:pStyle w:val="af8"/>
            <w:jc w:val="center"/>
            <w:rPr>
              <w:rFonts w:ascii="Arial" w:hAnsi="Arial" w:cs="Arial"/>
            </w:rPr>
          </w:pPr>
          <w:r>
            <w:rPr>
              <w:rFonts w:ascii="Arial" w:hAnsi="Arial" w:cs="Arial"/>
            </w:rPr>
            <w:t xml:space="preserve">«</w:t>
          </w:r>
          <w:r>
            <w:rPr>
              <w:rFonts w:ascii="Arial" w:hAnsi="Arial" w:cs="Arial"/>
            </w:rPr>
            <w:t xml:space="preserve">Учет</w:t>
          </w:r>
          <w:r>
            <w:rPr>
              <w:rFonts w:ascii="Arial" w:hAnsi="Arial" w:cs="Arial"/>
            </w:rPr>
            <w:t xml:space="preserve"> аварий и нарушений в работе энергооборудования</w:t>
          </w:r>
          <w:r>
            <w:rPr>
              <w:rFonts w:ascii="Arial" w:hAnsi="Arial" w:cs="Arial"/>
            </w:rPr>
            <w:t xml:space="preserve"> и расчет</w:t>
          </w:r>
          <w:r>
            <w:rPr>
              <w:rFonts w:ascii="Arial" w:hAnsi="Arial" w:cs="Arial"/>
            </w:rPr>
            <w:t xml:space="preserve"> экономического ущерба от них</w:t>
          </w:r>
          <w:r>
            <w:rPr>
              <w:rFonts w:ascii="Arial" w:hAnsi="Arial" w:cs="Arial"/>
            </w:rPr>
            <w:t xml:space="preserve"> в филиалах АО «Интер РАО - </w:t>
          </w:r>
          <w:r>
            <w:rPr>
              <w:rFonts w:ascii="Arial" w:hAnsi="Arial" w:cs="Arial"/>
            </w:rPr>
            <w:t xml:space="preserve">Электрогенерация</w:t>
          </w:r>
          <w:r>
            <w:rPr>
              <w:rFonts w:ascii="Arial" w:hAnsi="Arial" w:cs="Arial"/>
            </w:rPr>
            <w:t xml:space="preserve">»</w:t>
          </w:r>
        </w:p>
      </w:tc>
      <w:tc>
        <w:tcPr>
          <w:tcW w:w="2268" w:type="dxa"/>
          <w:vAlign w:val="center"/>
        </w:tcPr>
        <w:p>
          <w:pPr>
            <w:pStyle w:val="af8"/>
            <w:jc w:val="center"/>
            <w:rPr>
              <w:rFonts w:ascii="Arial" w:hAnsi="Arial" w:cs="Arial"/>
            </w:rPr>
          </w:pPr>
          <w:r>
            <w:rPr>
              <w:rFonts w:ascii="Arial" w:hAnsi="Arial" w:cs="Arial"/>
            </w:rPr>
            <w:t xml:space="preserve">МТ</w:t>
          </w:r>
          <w:r>
            <w:rPr>
              <w:rFonts w:ascii="Arial" w:hAnsi="Arial" w:cs="Arial"/>
            </w:rPr>
            <w:t xml:space="preserve">-</w:t>
          </w:r>
          <w:r>
            <w:rPr>
              <w:rFonts w:ascii="Arial" w:hAnsi="Arial" w:cs="Arial"/>
            </w:rPr>
            <w:t xml:space="preserve">039</w:t>
          </w:r>
          <w:r>
            <w:rPr>
              <w:rFonts w:ascii="Arial" w:hAnsi="Arial" w:cs="Arial"/>
            </w:rPr>
            <w:t xml:space="preserve">-</w:t>
          </w:r>
          <w:r>
            <w:rPr>
              <w:rFonts w:ascii="Arial" w:hAnsi="Arial" w:cs="Arial"/>
            </w:rPr>
            <w:t xml:space="preserve">3</w:t>
          </w:r>
        </w:p>
      </w:tc>
    </w:tr>
    <w:tr>
      <w:trPr>
        <w:cantSplit/>
        <w:trHeight w:val="329"/>
      </w:trPr>
      <w:tc>
        <w:tcPr>
          <w:tcW w:w="2445" w:type="dxa"/>
          <w:vMerge w:val="continue"/>
          <w:vAlign w:val="center"/>
        </w:tcPr>
        <w:p>
          <w:pPr>
            <w:pStyle w:val="af8"/>
            <w:jc w:val="center"/>
            <w:rPr>
              <w:sz w:val="20"/>
            </w:rPr>
          </w:pPr>
        </w:p>
      </w:tc>
      <w:tc>
        <w:tcPr>
          <w:tcW w:w="5239" w:type="dxa"/>
          <w:vMerge w:val="continue"/>
        </w:tcPr>
        <w:p>
          <w:pPr>
            <w:spacing w:line="360" w:lineRule="auto"/>
            <w:jc w:val="center"/>
            <w:rPr>
              <w:b/>
              <w:bCs/>
              <w:sz w:val="20"/>
            </w:rPr>
          </w:pPr>
        </w:p>
      </w:tc>
      <w:tc>
        <w:tcPr>
          <w:tcW w:w="2268" w:type="dxa"/>
          <w:vAlign w:val="center"/>
        </w:tcPr>
        <w:p>
          <w:pPr>
            <w:pStyle w:val="af8"/>
            <w:jc w:val="center"/>
            <w:rPr>
              <w:rFonts w:ascii="Arial" w:hAnsi="Arial" w:cs="Arial"/>
            </w:rPr>
          </w:pPr>
          <w:r>
            <w:rPr>
              <w:rFonts w:ascii="Arial" w:hAnsi="Arial" w:cs="Arial"/>
              <w:sz w:val="16"/>
            </w:rPr>
            <w:t xml:space="preserve">Для внутреннего использования</w:t>
          </w:r>
        </w:p>
      </w:tc>
    </w:tr>
  </w:tbl>
  <w:p>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lvlText w:val="%1."/>
      <w:lvlJc w:val="left"/>
      <w:pPr>
        <w:tabs>
          <w:tab w:val="num" w:pos="1110"/>
        </w:tabs>
        <w:ind w:left="1110" w:hanging="1110"/>
      </w:pPr>
      <w:rPr>
        <w:rFonts w:hint="default" w:cs="Times New Roman"/>
      </w:rPr>
    </w:lvl>
    <w:lvl w:ilvl="1">
      <w:start w:val="1"/>
      <w:numFmt w:val="decimal"/>
      <w:lvlText w:val="%1.%2."/>
      <w:lvlJc w:val="left"/>
      <w:pPr>
        <w:tabs>
          <w:tab w:val="num" w:pos="1650"/>
        </w:tabs>
        <w:ind w:left="1650" w:hanging="1110"/>
      </w:pPr>
      <w:rPr>
        <w:rFonts w:hint="default" w:cs="Times New Roman"/>
      </w:rPr>
    </w:lvl>
    <w:lvl w:ilvl="2">
      <w:start w:val="1"/>
      <w:numFmt w:val="decimal"/>
      <w:lvlText w:val="%1.%2.%3."/>
      <w:lvlJc w:val="left"/>
      <w:pPr>
        <w:tabs>
          <w:tab w:val="num" w:pos="1470"/>
        </w:tabs>
        <w:ind w:left="1470" w:hanging="1110"/>
      </w:pPr>
      <w:rPr>
        <w:rFonts w:hint="default" w:cs="Times New Roman"/>
      </w:rPr>
    </w:lvl>
    <w:lvl w:ilvl="3">
      <w:start w:val="1"/>
      <w:numFmt w:val="decimal"/>
      <w:lvlText w:val="%1.%2.%3.%4."/>
      <w:lvlJc w:val="left"/>
      <w:pPr>
        <w:tabs>
          <w:tab w:val="num" w:pos="2730"/>
        </w:tabs>
        <w:ind w:left="2730" w:hanging="1110"/>
      </w:pPr>
      <w:rPr>
        <w:rFonts w:hint="default" w:cs="Times New Roman"/>
      </w:rPr>
    </w:lvl>
    <w:lvl w:ilvl="4">
      <w:start w:val="1"/>
      <w:numFmt w:val="decimal"/>
      <w:lvlText w:val="%1.%2.%3.%4.%5."/>
      <w:lvlJc w:val="left"/>
      <w:pPr>
        <w:tabs>
          <w:tab w:val="num" w:pos="3270"/>
        </w:tabs>
        <w:ind w:left="3270" w:hanging="1110"/>
      </w:pPr>
      <w:rPr>
        <w:rFonts w:hint="default" w:cs="Times New Roman"/>
      </w:rPr>
    </w:lvl>
    <w:lvl w:ilvl="5">
      <w:start w:val="1"/>
      <w:numFmt w:val="decimal"/>
      <w:lvlText w:val="%1.%2.%3.%4.%5.%6."/>
      <w:lvlJc w:val="left"/>
      <w:pPr>
        <w:tabs>
          <w:tab w:val="num" w:pos="3810"/>
        </w:tabs>
        <w:ind w:left="3810" w:hanging="1110"/>
      </w:pPr>
      <w:rPr>
        <w:rFonts w:hint="default" w:cs="Times New Roman"/>
      </w:rPr>
    </w:lvl>
    <w:lvl w:ilvl="6">
      <w:start w:val="1"/>
      <w:numFmt w:val="decimal"/>
      <w:lvlText w:val="%1.%2.%3.%4.%5.%6.%7."/>
      <w:lvlJc w:val="left"/>
      <w:pPr>
        <w:tabs>
          <w:tab w:val="num" w:pos="4680"/>
        </w:tabs>
        <w:ind w:left="4680" w:hanging="1440"/>
      </w:pPr>
      <w:rPr>
        <w:rFonts w:hint="default" w:cs="Times New Roman"/>
      </w:rPr>
    </w:lvl>
    <w:lvl w:ilvl="7">
      <w:start w:val="1"/>
      <w:numFmt w:val="decimal"/>
      <w:lvlText w:val="%1.%2.%3.%4.%5.%6.%7.%8."/>
      <w:lvlJc w:val="left"/>
      <w:pPr>
        <w:tabs>
          <w:tab w:val="num" w:pos="5220"/>
        </w:tabs>
        <w:ind w:left="5220" w:hanging="1440"/>
      </w:pPr>
      <w:rPr>
        <w:rFonts w:hint="default" w:cs="Times New Roman"/>
      </w:rPr>
    </w:lvl>
    <w:lvl w:ilvl="8">
      <w:start w:val="1"/>
      <w:numFmt w:val="decimal"/>
      <w:lvlText w:val="%1.%2.%3.%4.%5.%6.%7.%8.%9."/>
      <w:lvlJc w:val="left"/>
      <w:pPr>
        <w:tabs>
          <w:tab w:val="num" w:pos="6120"/>
        </w:tabs>
        <w:ind w:left="6120" w:hanging="1800"/>
      </w:pPr>
      <w:rPr>
        <w:rFonts w:hint="default" w:cs="Times New Roman"/>
      </w:rPr>
    </w:lvl>
  </w:abstractNum>
  <w:abstractNum w:abstractNumId="1">
    <w:multiLevelType w:val="hybridMultilevel"/>
    <w:lvl w:ilvl="0" w:tplc="C49633C4">
      <w:start w:val="1"/>
      <w:numFmt w:val="bullet"/>
      <w:lvlText w:val="-"/>
      <w:lvlJc w:val="left"/>
      <w:pPr>
        <w:tabs>
          <w:tab w:val="num" w:pos="190"/>
        </w:tabs>
        <w:ind w:left="190" w:hanging="360"/>
      </w:pPr>
      <w:rPr>
        <w:rFonts w:hint="default" w:ascii="Courier New" w:hAnsi="Courier New"/>
      </w:rPr>
    </w:lvl>
    <w:lvl w:ilvl="1" w:tentative="1" w:tplc="04190003">
      <w:start w:val="1"/>
      <w:numFmt w:val="bullet"/>
      <w:lvlText w:val="o"/>
      <w:lvlJc w:val="left"/>
      <w:pPr>
        <w:tabs>
          <w:tab w:val="num" w:pos="550"/>
        </w:tabs>
        <w:ind w:left="550" w:hanging="360"/>
      </w:pPr>
      <w:rPr>
        <w:rFonts w:hint="default" w:ascii="Courier New" w:hAnsi="Courier New"/>
      </w:rPr>
    </w:lvl>
    <w:lvl w:ilvl="2" w:tentative="1" w:tplc="04190005">
      <w:start w:val="1"/>
      <w:numFmt w:val="bullet"/>
      <w:lvlText w:val=""/>
      <w:lvlJc w:val="left"/>
      <w:pPr>
        <w:tabs>
          <w:tab w:val="num" w:pos="1270"/>
        </w:tabs>
        <w:ind w:left="1270" w:hanging="360"/>
      </w:pPr>
      <w:rPr>
        <w:rFonts w:hint="default" w:ascii="Wingdings" w:hAnsi="Wingdings"/>
      </w:rPr>
    </w:lvl>
    <w:lvl w:ilvl="3" w:tentative="1" w:tplc="04190001">
      <w:start w:val="1"/>
      <w:numFmt w:val="bullet"/>
      <w:lvlText w:val=""/>
      <w:lvlJc w:val="left"/>
      <w:pPr>
        <w:tabs>
          <w:tab w:val="num" w:pos="1990"/>
        </w:tabs>
        <w:ind w:left="1990" w:hanging="360"/>
      </w:pPr>
      <w:rPr>
        <w:rFonts w:hint="default" w:ascii="Symbol" w:hAnsi="Symbol"/>
      </w:rPr>
    </w:lvl>
    <w:lvl w:ilvl="4" w:tentative="1" w:tplc="04190003">
      <w:start w:val="1"/>
      <w:numFmt w:val="bullet"/>
      <w:lvlText w:val="o"/>
      <w:lvlJc w:val="left"/>
      <w:pPr>
        <w:tabs>
          <w:tab w:val="num" w:pos="2710"/>
        </w:tabs>
        <w:ind w:left="2710" w:hanging="360"/>
      </w:pPr>
      <w:rPr>
        <w:rFonts w:hint="default" w:ascii="Courier New" w:hAnsi="Courier New"/>
      </w:rPr>
    </w:lvl>
    <w:lvl w:ilvl="5" w:tentative="1" w:tplc="04190005">
      <w:start w:val="1"/>
      <w:numFmt w:val="bullet"/>
      <w:lvlText w:val=""/>
      <w:lvlJc w:val="left"/>
      <w:pPr>
        <w:tabs>
          <w:tab w:val="num" w:pos="3430"/>
        </w:tabs>
        <w:ind w:left="3430" w:hanging="360"/>
      </w:pPr>
      <w:rPr>
        <w:rFonts w:hint="default" w:ascii="Wingdings" w:hAnsi="Wingdings"/>
      </w:rPr>
    </w:lvl>
    <w:lvl w:ilvl="6" w:tentative="1" w:tplc="04190001">
      <w:start w:val="1"/>
      <w:numFmt w:val="bullet"/>
      <w:lvlText w:val=""/>
      <w:lvlJc w:val="left"/>
      <w:pPr>
        <w:tabs>
          <w:tab w:val="num" w:pos="4150"/>
        </w:tabs>
        <w:ind w:left="4150" w:hanging="360"/>
      </w:pPr>
      <w:rPr>
        <w:rFonts w:hint="default" w:ascii="Symbol" w:hAnsi="Symbol"/>
      </w:rPr>
    </w:lvl>
    <w:lvl w:ilvl="7" w:tentative="1" w:tplc="04190003">
      <w:start w:val="1"/>
      <w:numFmt w:val="bullet"/>
      <w:lvlText w:val="o"/>
      <w:lvlJc w:val="left"/>
      <w:pPr>
        <w:tabs>
          <w:tab w:val="num" w:pos="4870"/>
        </w:tabs>
        <w:ind w:left="4870" w:hanging="360"/>
      </w:pPr>
      <w:rPr>
        <w:rFonts w:hint="default" w:ascii="Courier New" w:hAnsi="Courier New"/>
      </w:rPr>
    </w:lvl>
    <w:lvl w:ilvl="8" w:tentative="1" w:tplc="04190005">
      <w:start w:val="1"/>
      <w:numFmt w:val="bullet"/>
      <w:lvlText w:val=""/>
      <w:lvlJc w:val="left"/>
      <w:pPr>
        <w:tabs>
          <w:tab w:val="num" w:pos="5590"/>
        </w:tabs>
        <w:ind w:left="5590" w:hanging="360"/>
      </w:pPr>
      <w:rPr>
        <w:rFonts w:hint="default" w:ascii="Wingdings" w:hAnsi="Wingdings"/>
      </w:rPr>
    </w:lvl>
  </w:abstractNum>
  <w:abstractNum w:abstractNumId="2">
    <w:multiLevelType w:val="hybridMultilevel"/>
    <w:lvl w:ilvl="0">
      <w:start w:val="2"/>
      <w:numFmt w:val="decimal"/>
      <w:lvlText w:val="%1."/>
      <w:lvlJc w:val="left"/>
      <w:pPr>
        <w:ind w:left="450" w:hanging="450"/>
      </w:pPr>
      <w:rPr>
        <w:rFonts w:cs="Times New Roman"/>
        <w:color w:val="ffffff"/>
        <w:sz w:val="2"/>
        <w:szCs w:val="2"/>
      </w:rPr>
    </w:lvl>
    <w:lvl w:ilvl="1">
      <w:start w:val="1"/>
      <w:numFmt w:val="bullet"/>
      <w:lvlText w:val=""/>
      <w:lvlJc w:val="left"/>
      <w:pPr>
        <w:ind w:left="2866" w:hanging="720"/>
      </w:pPr>
      <w:rPr>
        <w:rFonts w:hint="default" w:ascii="Symbol" w:hAnsi="Symbol"/>
      </w:rPr>
    </w:lvl>
    <w:lvl w:ilvl="2">
      <w:start w:val="1"/>
      <w:numFmt w:val="decimal"/>
      <w:lvlText w:val="%1.%2.%3."/>
      <w:lvlJc w:val="left"/>
      <w:pPr>
        <w:ind w:left="1288" w:hanging="720"/>
      </w:pPr>
      <w:rPr>
        <w:rFonts w:cs="Times New Roman"/>
      </w:rPr>
    </w:lvl>
    <w:lvl w:ilvl="3">
      <w:start w:val="1"/>
      <w:numFmt w:val="decimal"/>
      <w:lvlText w:val="%1.%2.%3.%4."/>
      <w:lvlJc w:val="left"/>
      <w:pPr>
        <w:ind w:left="1648" w:hanging="1080"/>
      </w:pPr>
      <w:rPr>
        <w:rFonts w:cs="Times New Roman"/>
      </w:rPr>
    </w:lvl>
    <w:lvl w:ilvl="4">
      <w:start w:val="1"/>
      <w:numFmt w:val="decimal"/>
      <w:lvlText w:val="%1.%2.%3.%4.%5."/>
      <w:lvlJc w:val="left"/>
      <w:pPr>
        <w:ind w:left="9664" w:hanging="1080"/>
      </w:pPr>
      <w:rPr>
        <w:rFonts w:cs="Times New Roman"/>
      </w:rPr>
    </w:lvl>
    <w:lvl w:ilvl="5">
      <w:start w:val="1"/>
      <w:numFmt w:val="decimal"/>
      <w:lvlText w:val="%1.%2.%3.%4.%5.%6."/>
      <w:lvlJc w:val="left"/>
      <w:pPr>
        <w:ind w:left="12170" w:hanging="1440"/>
      </w:pPr>
      <w:rPr>
        <w:rFonts w:cs="Times New Roman"/>
      </w:rPr>
    </w:lvl>
    <w:lvl w:ilvl="6">
      <w:start w:val="1"/>
      <w:numFmt w:val="decimal"/>
      <w:lvlText w:val="%1.%2.%3.%4.%5.%6.%7."/>
      <w:lvlJc w:val="left"/>
      <w:pPr>
        <w:ind w:left="14676" w:hanging="1800"/>
      </w:pPr>
      <w:rPr>
        <w:rFonts w:cs="Times New Roman"/>
      </w:rPr>
    </w:lvl>
    <w:lvl w:ilvl="7">
      <w:start w:val="1"/>
      <w:numFmt w:val="decimal"/>
      <w:lvlText w:val="%1.%2.%3.%4.%5.%6.%7.%8."/>
      <w:lvlJc w:val="left"/>
      <w:pPr>
        <w:ind w:left="16822" w:hanging="1800"/>
      </w:pPr>
      <w:rPr>
        <w:rFonts w:cs="Times New Roman"/>
      </w:rPr>
    </w:lvl>
    <w:lvl w:ilvl="8">
      <w:start w:val="1"/>
      <w:numFmt w:val="decimal"/>
      <w:lvlText w:val="%1.%2.%3.%4.%5.%6.%7.%8.%9."/>
      <w:lvlJc w:val="left"/>
      <w:pPr>
        <w:ind w:left="19328" w:hanging="2160"/>
      </w:pPr>
      <w:rPr>
        <w:rFonts w:cs="Times New Roman"/>
      </w:rPr>
    </w:lvl>
  </w:abstractNum>
  <w:abstractNum w:abstractNumId="3">
    <w:multiLevelType w:val="hybridMultilevel"/>
    <w:lvl w:ilvl="0" w:tplc="0ED460C2">
      <w:start w:val="1"/>
      <w:numFmt w:val="bullet"/>
      <w:lvlText w:val=""/>
      <w:lvlJc w:val="left"/>
      <w:pPr>
        <w:ind w:left="1260" w:hanging="360"/>
      </w:pPr>
      <w:rPr>
        <w:rFonts w:hint="default" w:ascii="Symbol" w:hAnsi="Symbol"/>
      </w:rPr>
    </w:lvl>
    <w:lvl w:ilvl="1" w:tentative="1" w:tplc="04190003">
      <w:start w:val="1"/>
      <w:numFmt w:val="bullet"/>
      <w:lvlText w:val="o"/>
      <w:lvlJc w:val="left"/>
      <w:pPr>
        <w:ind w:left="1980" w:hanging="360"/>
      </w:pPr>
      <w:rPr>
        <w:rFonts w:hint="default" w:ascii="Courier New" w:hAnsi="Courier New" w:cs="Courier New"/>
      </w:rPr>
    </w:lvl>
    <w:lvl w:ilvl="2" w:tentative="1" w:tplc="04190005">
      <w:start w:val="1"/>
      <w:numFmt w:val="bullet"/>
      <w:lvlText w:val=""/>
      <w:lvlJc w:val="left"/>
      <w:pPr>
        <w:ind w:left="2700" w:hanging="360"/>
      </w:pPr>
      <w:rPr>
        <w:rFonts w:hint="default" w:ascii="Wingdings" w:hAnsi="Wingdings"/>
      </w:rPr>
    </w:lvl>
    <w:lvl w:ilvl="3" w:tentative="1" w:tplc="04190001">
      <w:start w:val="1"/>
      <w:numFmt w:val="bullet"/>
      <w:lvlText w:val=""/>
      <w:lvlJc w:val="left"/>
      <w:pPr>
        <w:ind w:left="3420" w:hanging="360"/>
      </w:pPr>
      <w:rPr>
        <w:rFonts w:hint="default" w:ascii="Symbol" w:hAnsi="Symbol"/>
      </w:rPr>
    </w:lvl>
    <w:lvl w:ilvl="4" w:tentative="1" w:tplc="04190003">
      <w:start w:val="1"/>
      <w:numFmt w:val="bullet"/>
      <w:lvlText w:val="o"/>
      <w:lvlJc w:val="left"/>
      <w:pPr>
        <w:ind w:left="4140" w:hanging="360"/>
      </w:pPr>
      <w:rPr>
        <w:rFonts w:hint="default" w:ascii="Courier New" w:hAnsi="Courier New" w:cs="Courier New"/>
      </w:rPr>
    </w:lvl>
    <w:lvl w:ilvl="5" w:tentative="1" w:tplc="04190005">
      <w:start w:val="1"/>
      <w:numFmt w:val="bullet"/>
      <w:lvlText w:val=""/>
      <w:lvlJc w:val="left"/>
      <w:pPr>
        <w:ind w:left="4860" w:hanging="360"/>
      </w:pPr>
      <w:rPr>
        <w:rFonts w:hint="default" w:ascii="Wingdings" w:hAnsi="Wingdings"/>
      </w:rPr>
    </w:lvl>
    <w:lvl w:ilvl="6" w:tentative="1" w:tplc="04190001">
      <w:start w:val="1"/>
      <w:numFmt w:val="bullet"/>
      <w:lvlText w:val=""/>
      <w:lvlJc w:val="left"/>
      <w:pPr>
        <w:ind w:left="5580" w:hanging="360"/>
      </w:pPr>
      <w:rPr>
        <w:rFonts w:hint="default" w:ascii="Symbol" w:hAnsi="Symbol"/>
      </w:rPr>
    </w:lvl>
    <w:lvl w:ilvl="7" w:tentative="1" w:tplc="04190003">
      <w:start w:val="1"/>
      <w:numFmt w:val="bullet"/>
      <w:lvlText w:val="o"/>
      <w:lvlJc w:val="left"/>
      <w:pPr>
        <w:ind w:left="6300" w:hanging="360"/>
      </w:pPr>
      <w:rPr>
        <w:rFonts w:hint="default" w:ascii="Courier New" w:hAnsi="Courier New" w:cs="Courier New"/>
      </w:rPr>
    </w:lvl>
    <w:lvl w:ilvl="8" w:tentative="1" w:tplc="04190005">
      <w:start w:val="1"/>
      <w:numFmt w:val="bullet"/>
      <w:lvlText w:val=""/>
      <w:lvlJc w:val="left"/>
      <w:pPr>
        <w:ind w:left="7020" w:hanging="360"/>
      </w:pPr>
      <w:rPr>
        <w:rFonts w:hint="default" w:ascii="Wingdings" w:hAnsi="Wingdings"/>
      </w:rPr>
    </w:lvl>
  </w:abstractNum>
  <w:abstractNum w:abstractNumId="4">
    <w:multiLevelType w:val="hybridMultilevel"/>
    <w:lvl w:ilvl="0" w:tplc="C49633C4">
      <w:start w:val="1"/>
      <w:numFmt w:val="bullet"/>
      <w:lvlText w:val="-"/>
      <w:lvlJc w:val="left"/>
      <w:pPr>
        <w:tabs>
          <w:tab w:val="num" w:pos="1080"/>
        </w:tabs>
        <w:ind w:left="1080" w:hanging="360"/>
      </w:pPr>
      <w:rPr>
        <w:rFonts w:hint="default" w:ascii="Courier New" w:hAnsi="Courier New"/>
      </w:rPr>
    </w:lvl>
    <w:lvl w:ilvl="1" w:tentative="1" w:tplc="04190003">
      <w:start w:val="1"/>
      <w:numFmt w:val="bullet"/>
      <w:lvlText w:val="o"/>
      <w:lvlJc w:val="left"/>
      <w:pPr>
        <w:tabs>
          <w:tab w:val="num" w:pos="1440"/>
        </w:tabs>
        <w:ind w:left="1440" w:hanging="360"/>
      </w:pPr>
      <w:rPr>
        <w:rFonts w:hint="default" w:ascii="Courier New" w:hAnsi="Courier New"/>
      </w:rPr>
    </w:lvl>
    <w:lvl w:ilvl="2" w:tentative="1" w:tplc="04190005">
      <w:start w:val="1"/>
      <w:numFmt w:val="bullet"/>
      <w:lvlText w:val=""/>
      <w:lvlJc w:val="left"/>
      <w:pPr>
        <w:tabs>
          <w:tab w:val="num" w:pos="2160"/>
        </w:tabs>
        <w:ind w:left="2160" w:hanging="360"/>
      </w:pPr>
      <w:rPr>
        <w:rFonts w:hint="default" w:ascii="Wingdings" w:hAnsi="Wingdings"/>
      </w:rPr>
    </w:lvl>
    <w:lvl w:ilvl="3" w:tentative="1" w:tplc="04190001">
      <w:start w:val="1"/>
      <w:numFmt w:val="bullet"/>
      <w:lvlText w:val=""/>
      <w:lvlJc w:val="left"/>
      <w:pPr>
        <w:tabs>
          <w:tab w:val="num" w:pos="2880"/>
        </w:tabs>
        <w:ind w:left="2880" w:hanging="360"/>
      </w:pPr>
      <w:rPr>
        <w:rFonts w:hint="default" w:ascii="Symbol" w:hAnsi="Symbol"/>
      </w:rPr>
    </w:lvl>
    <w:lvl w:ilvl="4" w:tentative="1" w:tplc="04190003">
      <w:start w:val="1"/>
      <w:numFmt w:val="bullet"/>
      <w:lvlText w:val="o"/>
      <w:lvlJc w:val="left"/>
      <w:pPr>
        <w:tabs>
          <w:tab w:val="num" w:pos="3600"/>
        </w:tabs>
        <w:ind w:left="3600" w:hanging="360"/>
      </w:pPr>
      <w:rPr>
        <w:rFonts w:hint="default" w:ascii="Courier New" w:hAnsi="Courier New"/>
      </w:rPr>
    </w:lvl>
    <w:lvl w:ilvl="5" w:tentative="1" w:tplc="04190005">
      <w:start w:val="1"/>
      <w:numFmt w:val="bullet"/>
      <w:lvlText w:val=""/>
      <w:lvlJc w:val="left"/>
      <w:pPr>
        <w:tabs>
          <w:tab w:val="num" w:pos="4320"/>
        </w:tabs>
        <w:ind w:left="4320" w:hanging="360"/>
      </w:pPr>
      <w:rPr>
        <w:rFonts w:hint="default" w:ascii="Wingdings" w:hAnsi="Wingdings"/>
      </w:rPr>
    </w:lvl>
    <w:lvl w:ilvl="6" w:tentative="1" w:tplc="04190001">
      <w:start w:val="1"/>
      <w:numFmt w:val="bullet"/>
      <w:lvlText w:val=""/>
      <w:lvlJc w:val="left"/>
      <w:pPr>
        <w:tabs>
          <w:tab w:val="num" w:pos="5040"/>
        </w:tabs>
        <w:ind w:left="5040" w:hanging="360"/>
      </w:pPr>
      <w:rPr>
        <w:rFonts w:hint="default" w:ascii="Symbol" w:hAnsi="Symbol"/>
      </w:rPr>
    </w:lvl>
    <w:lvl w:ilvl="7" w:tentative="1" w:tplc="04190003">
      <w:start w:val="1"/>
      <w:numFmt w:val="bullet"/>
      <w:lvlText w:val="o"/>
      <w:lvlJc w:val="left"/>
      <w:pPr>
        <w:tabs>
          <w:tab w:val="num" w:pos="5760"/>
        </w:tabs>
        <w:ind w:left="5760" w:hanging="360"/>
      </w:pPr>
      <w:rPr>
        <w:rFonts w:hint="default" w:ascii="Courier New" w:hAnsi="Courier New"/>
      </w:rPr>
    </w:lvl>
    <w:lvl w:ilvl="8" w:tentative="1" w:tplc="04190005">
      <w:start w:val="1"/>
      <w:numFmt w:val="bullet"/>
      <w:lvlText w:val=""/>
      <w:lvlJc w:val="left"/>
      <w:pPr>
        <w:tabs>
          <w:tab w:val="num" w:pos="6480"/>
        </w:tabs>
        <w:ind w:left="6480" w:hanging="360"/>
      </w:pPr>
      <w:rPr>
        <w:rFonts w:hint="default" w:ascii="Wingdings" w:hAnsi="Wingdings"/>
      </w:rPr>
    </w:lvl>
  </w:abstractNum>
  <w:abstractNum w:abstractNumId="5">
    <w:multiLevelType w:val="hybridMultilevel"/>
    <w:styleLink w:val="3"/>
    <w:lvl w:ilvl="0">
      <w:start w:val="3"/>
      <w:numFmt w:val="decimal"/>
      <w:lvlText w:val="%1."/>
      <w:lvlJc w:val="left"/>
      <w:pPr>
        <w:tabs>
          <w:tab w:val="num" w:pos="390"/>
        </w:tabs>
        <w:ind w:left="390" w:hanging="390"/>
      </w:pPr>
      <w:rPr>
        <w:rFonts w:hint="default" w:cs="Times New Roman"/>
      </w:rPr>
    </w:lvl>
    <w:lvl w:ilvl="1">
      <w:start w:val="1"/>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abstractNum w:abstractNumId="6">
    <w:multiLevelType w:val="hybridMultilevel"/>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
    <w:multiLevelType w:val="hybridMultilevel"/>
    <w:lvl w:ilvl="0" w:tplc="7A660200">
      <w:start w:val="5"/>
      <w:numFmt w:val="decimal"/>
      <w:lvlText w:val="%1."/>
      <w:lvlJc w:val="left"/>
      <w:pPr>
        <w:tabs>
          <w:tab w:val="num" w:pos="540"/>
        </w:tabs>
        <w:ind w:left="540" w:hanging="360"/>
      </w:pPr>
      <w:rPr>
        <w:rFonts w:hint="default" w:cs="Times New Roman"/>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8">
    <w:multiLevelType w:val="hybridMultilevel"/>
    <w:lvl w:ilvl="0" w:tplc="0419000F">
      <w:start w:val="1"/>
      <w:numFmt w:val="decimal"/>
      <w:lvlText w:val="%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9">
    <w:multiLevelType w:val="hybridMultilevel"/>
    <w:lvl w:ilvl="0">
      <w:start w:val="1"/>
      <w:numFmt w:val="upperRoman"/>
      <w:pStyle w:val="1"/>
      <w:lvlText w:val="Статья %1."/>
      <w:lvlJc w:val="left"/>
      <w:pPr>
        <w:tabs>
          <w:tab w:val="num" w:pos="1800"/>
        </w:tabs>
      </w:pPr>
      <w:rPr>
        <w:rFonts w:cs="Times New Roman"/>
      </w:rPr>
    </w:lvl>
    <w:lvl w:ilvl="1">
      <w:start w:val="1"/>
      <w:numFmt w:val="decimalZero"/>
      <w:pStyle w:val="2"/>
      <w:isLgl/>
      <w:lvlText w:val="Раздел %1.%2"/>
      <w:lvlJc w:val="left"/>
      <w:pPr>
        <w:tabs>
          <w:tab w:val="num" w:pos="1800"/>
        </w:tabs>
      </w:pPr>
      <w:rPr>
        <w:rFonts w:cs="Times New Roman"/>
      </w:rPr>
    </w:lvl>
    <w:lvl w:ilvl="2">
      <w:start w:val="1"/>
      <w:numFmt w:val="lowerLetter"/>
      <w:pStyle w:val="30"/>
      <w:lvlText w:val="(%3)"/>
      <w:lvlJc w:val="left"/>
      <w:pPr>
        <w:tabs>
          <w:tab w:val="num" w:pos="720"/>
        </w:tabs>
        <w:ind w:left="720" w:hanging="432"/>
      </w:pPr>
      <w:rPr>
        <w:rFonts w:cs="Times New Roman"/>
      </w:rPr>
    </w:lvl>
    <w:lvl w:ilvl="3">
      <w:start w:val="1"/>
      <w:numFmt w:val="lowerRoman"/>
      <w:pStyle w:val="4"/>
      <w:lvlText w:val="(%4)"/>
      <w:lvlJc w:val="right"/>
      <w:pPr>
        <w:tabs>
          <w:tab w:val="num" w:pos="864"/>
        </w:tabs>
        <w:ind w:left="864" w:hanging="144"/>
      </w:pPr>
      <w:rPr>
        <w:rFonts w:cs="Times New Roman"/>
      </w:rPr>
    </w:lvl>
    <w:lvl w:ilvl="4">
      <w:start w:val="1"/>
      <w:numFmt w:val="decimal"/>
      <w:pStyle w:val="5"/>
      <w:lvlText w:val="%5)"/>
      <w:lvlJc w:val="left"/>
      <w:pPr>
        <w:tabs>
          <w:tab w:val="num" w:pos="1008"/>
        </w:tabs>
        <w:ind w:left="1008" w:hanging="432"/>
      </w:pPr>
      <w:rPr>
        <w:rFonts w:cs="Times New Roman"/>
      </w:rPr>
    </w:lvl>
    <w:lvl w:ilvl="5">
      <w:start w:val="1"/>
      <w:numFmt w:val="lowerLetter"/>
      <w:pStyle w:val="6"/>
      <w:lvlText w:val="%6)"/>
      <w:lvlJc w:val="left"/>
      <w:pPr>
        <w:tabs>
          <w:tab w:val="num" w:pos="1152"/>
        </w:tabs>
        <w:ind w:left="1152" w:hanging="432"/>
      </w:pPr>
      <w:rPr>
        <w:rFonts w:cs="Times New Roman"/>
      </w:rPr>
    </w:lvl>
    <w:lvl w:ilvl="6">
      <w:start w:val="1"/>
      <w:numFmt w:val="lowerRoman"/>
      <w:pStyle w:val="7"/>
      <w:lvlText w:val="%7)"/>
      <w:lvlJc w:val="right"/>
      <w:pPr>
        <w:tabs>
          <w:tab w:val="num" w:pos="1296"/>
        </w:tabs>
        <w:ind w:left="1296" w:hanging="288"/>
      </w:pPr>
      <w:rPr>
        <w:rFonts w:cs="Times New Roman"/>
      </w:rPr>
    </w:lvl>
    <w:lvl w:ilvl="7">
      <w:start w:val="1"/>
      <w:numFmt w:val="lowerLetter"/>
      <w:pStyle w:val="8"/>
      <w:lvlText w:val="%8."/>
      <w:lvlJc w:val="left"/>
      <w:pPr>
        <w:tabs>
          <w:tab w:val="num" w:pos="1440"/>
        </w:tabs>
        <w:ind w:left="1440" w:hanging="432"/>
      </w:pPr>
      <w:rPr>
        <w:rFonts w:cs="Times New Roman"/>
      </w:rPr>
    </w:lvl>
    <w:lvl w:ilvl="8">
      <w:start w:val="1"/>
      <w:numFmt w:val="lowerRoman"/>
      <w:pStyle w:val="9"/>
      <w:lvlText w:val="%9."/>
      <w:lvlJc w:val="right"/>
      <w:pPr>
        <w:tabs>
          <w:tab w:val="num" w:pos="1584"/>
        </w:tabs>
        <w:ind w:left="1584" w:hanging="144"/>
      </w:pPr>
      <w:rPr>
        <w:rFonts w:cs="Times New Roman"/>
      </w:rPr>
    </w:lvl>
  </w:abstractNum>
  <w:abstractNum w:abstractNumId="10">
    <w:multiLevelType w:val="hybridMultilevel"/>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multiLevelType w:val="hybridMultilevel"/>
    <w:lvl w:ilvl="0">
      <w:start w:val="2"/>
      <w:numFmt w:val="decimal"/>
      <w:lvlText w:val="%1."/>
      <w:lvlJc w:val="left"/>
      <w:pPr>
        <w:ind w:left="450" w:hanging="450"/>
      </w:pPr>
      <w:rPr>
        <w:rFonts w:cs="Times New Roman"/>
      </w:rPr>
    </w:lvl>
    <w:lvl w:ilvl="1">
      <w:start w:val="1"/>
      <w:numFmt w:val="decimal"/>
      <w:lvlText w:val="%1.%2."/>
      <w:lvlJc w:val="left"/>
      <w:pPr>
        <w:ind w:left="2866" w:hanging="720"/>
      </w:pPr>
      <w:rPr>
        <w:rFonts w:cs="Times New Roman"/>
      </w:rPr>
    </w:lvl>
    <w:lvl w:ilvl="2">
      <w:start w:val="1"/>
      <w:numFmt w:val="russianLower"/>
      <w:lvlText w:val="%3)"/>
      <w:lvlJc w:val="left"/>
      <w:pPr>
        <w:ind w:left="5012" w:hanging="720"/>
      </w:pPr>
      <w:rPr>
        <w:rFonts w:hint="default"/>
        <w:b/>
      </w:rPr>
    </w:lvl>
    <w:lvl w:ilvl="3">
      <w:start w:val="1"/>
      <w:numFmt w:val="decimal"/>
      <w:lvlText w:val="%1.%2.%3.%4."/>
      <w:lvlJc w:val="left"/>
      <w:pPr>
        <w:ind w:left="7518" w:hanging="1080"/>
      </w:pPr>
      <w:rPr>
        <w:rFonts w:cs="Times New Roman"/>
      </w:rPr>
    </w:lvl>
    <w:lvl w:ilvl="4">
      <w:start w:val="1"/>
      <w:numFmt w:val="decimal"/>
      <w:lvlText w:val="%1.%2.%3.%4.%5."/>
      <w:lvlJc w:val="left"/>
      <w:pPr>
        <w:ind w:left="9664" w:hanging="1080"/>
      </w:pPr>
      <w:rPr>
        <w:rFonts w:cs="Times New Roman"/>
      </w:rPr>
    </w:lvl>
    <w:lvl w:ilvl="5">
      <w:start w:val="1"/>
      <w:numFmt w:val="decimal"/>
      <w:lvlText w:val="%1.%2.%3.%4.%5.%6."/>
      <w:lvlJc w:val="left"/>
      <w:pPr>
        <w:ind w:left="12170" w:hanging="1440"/>
      </w:pPr>
      <w:rPr>
        <w:rFonts w:cs="Times New Roman"/>
      </w:rPr>
    </w:lvl>
    <w:lvl w:ilvl="6">
      <w:start w:val="1"/>
      <w:numFmt w:val="decimal"/>
      <w:lvlText w:val="%1.%2.%3.%4.%5.%6.%7."/>
      <w:lvlJc w:val="left"/>
      <w:pPr>
        <w:ind w:left="14676" w:hanging="1800"/>
      </w:pPr>
      <w:rPr>
        <w:rFonts w:cs="Times New Roman"/>
      </w:rPr>
    </w:lvl>
    <w:lvl w:ilvl="7">
      <w:start w:val="1"/>
      <w:numFmt w:val="decimal"/>
      <w:lvlText w:val="%1.%2.%3.%4.%5.%6.%7.%8."/>
      <w:lvlJc w:val="left"/>
      <w:pPr>
        <w:ind w:left="16822" w:hanging="1800"/>
      </w:pPr>
      <w:rPr>
        <w:rFonts w:cs="Times New Roman"/>
      </w:rPr>
    </w:lvl>
    <w:lvl w:ilvl="8">
      <w:start w:val="1"/>
      <w:numFmt w:val="decimal"/>
      <w:lvlText w:val="%1.%2.%3.%4.%5.%6.%7.%8.%9."/>
      <w:lvlJc w:val="left"/>
      <w:pPr>
        <w:ind w:left="19328" w:hanging="2160"/>
      </w:pPr>
      <w:rPr>
        <w:rFonts w:cs="Times New Roman"/>
      </w:rPr>
    </w:lvl>
  </w:abstractNum>
  <w:abstractNum w:abstractNumId="12">
    <w:multiLevelType w:val="hybridMultilevel"/>
    <w:lvl w:ilvl="0">
      <w:start w:val="2"/>
      <w:numFmt w:val="decimal"/>
      <w:lvlText w:val="%1."/>
      <w:lvlJc w:val="left"/>
      <w:pPr>
        <w:ind w:left="450" w:hanging="450"/>
      </w:pPr>
      <w:rPr>
        <w:rFonts w:cs="Times New Roman"/>
        <w:color w:val="ffffff"/>
        <w:sz w:val="2"/>
        <w:szCs w:val="2"/>
      </w:rPr>
    </w:lvl>
    <w:lvl w:ilvl="1">
      <w:start w:val="1"/>
      <w:numFmt w:val="russianLower"/>
      <w:lvlText w:val="%2)"/>
      <w:lvlJc w:val="left"/>
      <w:pPr>
        <w:ind w:left="2866" w:hanging="720"/>
      </w:pPr>
      <w:rPr>
        <w:rFonts w:hint="default"/>
      </w:rPr>
    </w:lvl>
    <w:lvl w:ilvl="2">
      <w:start w:val="1"/>
      <w:numFmt w:val="decimal"/>
      <w:lvlText w:val="%1.%2.%3."/>
      <w:lvlJc w:val="left"/>
      <w:pPr>
        <w:ind w:left="1146" w:hanging="720"/>
      </w:pPr>
      <w:rPr>
        <w:rFonts w:cs="Times New Roman"/>
      </w:rPr>
    </w:lvl>
    <w:lvl w:ilvl="3">
      <w:start w:val="1"/>
      <w:numFmt w:val="decimal"/>
      <w:lvlText w:val="%1.%2.%3.%4."/>
      <w:lvlJc w:val="left"/>
      <w:pPr>
        <w:ind w:left="1648" w:hanging="1080"/>
      </w:pPr>
      <w:rPr>
        <w:rFonts w:cs="Times New Roman"/>
      </w:rPr>
    </w:lvl>
    <w:lvl w:ilvl="4">
      <w:start w:val="1"/>
      <w:numFmt w:val="decimal"/>
      <w:lvlText w:val="%1.%2.%3.%4.%5."/>
      <w:lvlJc w:val="left"/>
      <w:pPr>
        <w:ind w:left="9664" w:hanging="1080"/>
      </w:pPr>
      <w:rPr>
        <w:rFonts w:cs="Times New Roman"/>
      </w:rPr>
    </w:lvl>
    <w:lvl w:ilvl="5">
      <w:start w:val="1"/>
      <w:numFmt w:val="decimal"/>
      <w:lvlText w:val="%1.%2.%3.%4.%5.%6."/>
      <w:lvlJc w:val="left"/>
      <w:pPr>
        <w:ind w:left="12170" w:hanging="1440"/>
      </w:pPr>
      <w:rPr>
        <w:rFonts w:cs="Times New Roman"/>
      </w:rPr>
    </w:lvl>
    <w:lvl w:ilvl="6">
      <w:start w:val="1"/>
      <w:numFmt w:val="decimal"/>
      <w:lvlText w:val="%1.%2.%3.%4.%5.%6.%7."/>
      <w:lvlJc w:val="left"/>
      <w:pPr>
        <w:ind w:left="14676" w:hanging="1800"/>
      </w:pPr>
      <w:rPr>
        <w:rFonts w:cs="Times New Roman"/>
      </w:rPr>
    </w:lvl>
    <w:lvl w:ilvl="7">
      <w:start w:val="1"/>
      <w:numFmt w:val="decimal"/>
      <w:lvlText w:val="%1.%2.%3.%4.%5.%6.%7.%8."/>
      <w:lvlJc w:val="left"/>
      <w:pPr>
        <w:ind w:left="16822" w:hanging="1800"/>
      </w:pPr>
      <w:rPr>
        <w:rFonts w:cs="Times New Roman"/>
      </w:rPr>
    </w:lvl>
    <w:lvl w:ilvl="8">
      <w:start w:val="1"/>
      <w:numFmt w:val="decimal"/>
      <w:lvlText w:val="%1.%2.%3.%4.%5.%6.%7.%8.%9."/>
      <w:lvlJc w:val="left"/>
      <w:pPr>
        <w:ind w:left="19328" w:hanging="2160"/>
      </w:pPr>
      <w:rPr>
        <w:rFonts w:cs="Times New Roman"/>
      </w:rPr>
    </w:lvl>
  </w:abstractNum>
  <w:abstractNum w:abstractNumId="13">
    <w:multiLevelType w:val="hybridMultilevel"/>
    <w:lvl w:ilvl="0">
      <w:start w:val="1"/>
      <w:numFmt w:val="decimal"/>
      <w:pStyle w:val="116"/>
      <w:lvlText w:val="%1."/>
      <w:lvlJc w:val="left"/>
      <w:pPr>
        <w:tabs>
          <w:tab w:val="num" w:pos="360"/>
        </w:tabs>
        <w:ind w:left="360" w:hanging="360"/>
      </w:pPr>
      <w:rPr>
        <w:rFonts w:hint="default" w:cs="Times New Roman"/>
        <w:b/>
        <w:i w:val="0"/>
        <w:sz w:val="24"/>
        <w:szCs w:val="24"/>
      </w:rPr>
    </w:lvl>
    <w:lvl w:ilvl="1">
      <w:start w:val="1"/>
      <w:numFmt w:val="decimal"/>
      <w:isLgl/>
      <w:lvlText w:val="%2.%2."/>
      <w:lvlJc w:val="left"/>
      <w:pPr>
        <w:tabs>
          <w:tab w:val="num" w:pos="360"/>
        </w:tabs>
        <w:ind w:left="360" w:hanging="360"/>
      </w:pPr>
      <w:rPr>
        <w:rFonts w:hint="default" w:ascii="Arial" w:hAnsi="Arial" w:cs="Arial"/>
        <w:b/>
        <w:i w:val="0"/>
        <w:sz w:val="24"/>
        <w:szCs w:val="24"/>
      </w:rPr>
    </w:lvl>
    <w:lvl w:ilvl="2">
      <w:start w:val="1"/>
      <w:numFmt w:val="decimal"/>
      <w:isLgl/>
      <w:lvlText w:val="%1.%2.%3."/>
      <w:lvlJc w:val="left"/>
      <w:pPr>
        <w:tabs>
          <w:tab w:val="num" w:pos="1980"/>
        </w:tabs>
        <w:ind w:left="1980" w:hanging="720"/>
      </w:pPr>
      <w:rPr>
        <w:rFonts w:hint="default" w:cs="Times New Roman"/>
        <w:b/>
        <w:i w:val="0"/>
        <w:sz w:val="24"/>
      </w:rPr>
    </w:lvl>
    <w:lvl w:ilvl="3">
      <w:start w:val="1"/>
      <w:numFmt w:val="decimal"/>
      <w:isLgl/>
      <w:lvlText w:val="%1.%2.%3.%4."/>
      <w:lvlJc w:val="left"/>
      <w:pPr>
        <w:tabs>
          <w:tab w:val="num" w:pos="720"/>
        </w:tabs>
        <w:ind w:left="720" w:hanging="720"/>
      </w:pPr>
      <w:rPr>
        <w:rFonts w:hint="default" w:cs="Times New Roman"/>
      </w:rPr>
    </w:lvl>
    <w:lvl w:ilvl="4">
      <w:start w:val="1"/>
      <w:numFmt w:val="decimal"/>
      <w:isLgl/>
      <w:lvlText w:val="%1.%2.%3.%4.%5."/>
      <w:lvlJc w:val="left"/>
      <w:pPr>
        <w:tabs>
          <w:tab w:val="num" w:pos="1080"/>
        </w:tabs>
        <w:ind w:left="1080" w:hanging="1080"/>
      </w:pPr>
      <w:rPr>
        <w:rFonts w:hint="default" w:cs="Times New Roman"/>
      </w:rPr>
    </w:lvl>
    <w:lvl w:ilvl="5">
      <w:start w:val="1"/>
      <w:numFmt w:val="decimal"/>
      <w:isLgl/>
      <w:lvlText w:val="%1.%2.%3.%4.%5.%6."/>
      <w:lvlJc w:val="left"/>
      <w:pPr>
        <w:tabs>
          <w:tab w:val="num" w:pos="1080"/>
        </w:tabs>
        <w:ind w:left="1080" w:hanging="1080"/>
      </w:pPr>
      <w:rPr>
        <w:rFonts w:hint="default" w:cs="Times New Roman"/>
      </w:rPr>
    </w:lvl>
    <w:lvl w:ilvl="6">
      <w:start w:val="1"/>
      <w:numFmt w:val="decimal"/>
      <w:isLgl/>
      <w:lvlText w:val="%1.%2.%3.%4.%5.%6.%7."/>
      <w:lvlJc w:val="left"/>
      <w:pPr>
        <w:tabs>
          <w:tab w:val="num" w:pos="1440"/>
        </w:tabs>
        <w:ind w:left="1440" w:hanging="1440"/>
      </w:pPr>
      <w:rPr>
        <w:rFonts w:hint="default" w:cs="Times New Roman"/>
      </w:rPr>
    </w:lvl>
    <w:lvl w:ilvl="7">
      <w:start w:val="1"/>
      <w:numFmt w:val="decimal"/>
      <w:isLgl/>
      <w:lvlText w:val="%1.%2.%3.%4.%5.%6.%7.%8."/>
      <w:lvlJc w:val="left"/>
      <w:pPr>
        <w:tabs>
          <w:tab w:val="num" w:pos="1440"/>
        </w:tabs>
        <w:ind w:left="1440" w:hanging="1440"/>
      </w:pPr>
      <w:rPr>
        <w:rFonts w:hint="default" w:cs="Times New Roman"/>
      </w:rPr>
    </w:lvl>
    <w:lvl w:ilvl="8">
      <w:start w:val="1"/>
      <w:numFmt w:val="decimal"/>
      <w:isLgl/>
      <w:lvlText w:val="%1.%2.%3.%4.%5.%6.%7.%8.%9."/>
      <w:lvlJc w:val="left"/>
      <w:pPr>
        <w:tabs>
          <w:tab w:val="num" w:pos="1800"/>
        </w:tabs>
        <w:ind w:left="1800" w:hanging="1800"/>
      </w:pPr>
      <w:rPr>
        <w:rFonts w:hint="default" w:cs="Times New Roman"/>
      </w:rPr>
    </w:lvl>
  </w:abstractNum>
  <w:abstractNum w:abstractNumId="14">
    <w:multiLevelType w:val="hybridMultilevel"/>
    <w:lvl w:ilvl="0">
      <w:start w:val="2"/>
      <w:numFmt w:val="decimal"/>
      <w:lvlText w:val="%1."/>
      <w:lvlJc w:val="left"/>
      <w:pPr>
        <w:ind w:left="450" w:hanging="450"/>
      </w:pPr>
      <w:rPr>
        <w:rFonts w:cs="Times New Roman"/>
        <w:color w:val="ffffff"/>
        <w:sz w:val="2"/>
        <w:szCs w:val="2"/>
      </w:rPr>
    </w:lvl>
    <w:lvl w:ilvl="1">
      <w:start w:val="1"/>
      <w:numFmt w:val="decimal"/>
      <w:lvlText w:val="%1.%2."/>
      <w:lvlJc w:val="left"/>
      <w:pPr>
        <w:ind w:left="720" w:hanging="720"/>
      </w:pPr>
      <w:rPr>
        <w:rFonts w:cs="Times New Roman"/>
      </w:rPr>
    </w:lvl>
    <w:lvl w:ilvl="2">
      <w:start w:val="1"/>
      <w:numFmt w:val="decimal"/>
      <w:lvlText w:val="%1.%2.%3."/>
      <w:lvlJc w:val="left"/>
      <w:pPr>
        <w:ind w:left="1571" w:hanging="720"/>
      </w:pPr>
      <w:rPr>
        <w:rFonts w:cs="Times New Roman"/>
      </w:rPr>
    </w:lvl>
    <w:lvl w:ilvl="3">
      <w:start w:val="1"/>
      <w:numFmt w:val="decimal"/>
      <w:lvlText w:val="%1.%2.%3.%4."/>
      <w:lvlJc w:val="left"/>
      <w:pPr>
        <w:ind w:left="1648" w:hanging="1080"/>
      </w:pPr>
      <w:rPr>
        <w:rFonts w:cs="Times New Roman"/>
      </w:rPr>
    </w:lvl>
    <w:lvl w:ilvl="4">
      <w:start w:val="1"/>
      <w:numFmt w:val="decimal"/>
      <w:lvlText w:val="%1.%2.%3.%4.%5."/>
      <w:lvlJc w:val="left"/>
      <w:pPr>
        <w:ind w:left="9664" w:hanging="1080"/>
      </w:pPr>
      <w:rPr>
        <w:rFonts w:cs="Times New Roman"/>
      </w:rPr>
    </w:lvl>
    <w:lvl w:ilvl="5">
      <w:start w:val="1"/>
      <w:numFmt w:val="decimal"/>
      <w:lvlText w:val="%1.%2.%3.%4.%5.%6."/>
      <w:lvlJc w:val="left"/>
      <w:pPr>
        <w:ind w:left="12170" w:hanging="1440"/>
      </w:pPr>
      <w:rPr>
        <w:rFonts w:cs="Times New Roman"/>
      </w:rPr>
    </w:lvl>
    <w:lvl w:ilvl="6">
      <w:start w:val="1"/>
      <w:numFmt w:val="decimal"/>
      <w:lvlText w:val="%1.%2.%3.%4.%5.%6.%7."/>
      <w:lvlJc w:val="left"/>
      <w:pPr>
        <w:ind w:left="14676" w:hanging="1800"/>
      </w:pPr>
      <w:rPr>
        <w:rFonts w:cs="Times New Roman"/>
      </w:rPr>
    </w:lvl>
    <w:lvl w:ilvl="7">
      <w:start w:val="1"/>
      <w:numFmt w:val="decimal"/>
      <w:lvlText w:val="%1.%2.%3.%4.%5.%6.%7.%8."/>
      <w:lvlJc w:val="left"/>
      <w:pPr>
        <w:ind w:left="16822" w:hanging="1800"/>
      </w:pPr>
      <w:rPr>
        <w:rFonts w:cs="Times New Roman"/>
      </w:rPr>
    </w:lvl>
    <w:lvl w:ilvl="8">
      <w:start w:val="1"/>
      <w:numFmt w:val="decimal"/>
      <w:lvlText w:val="%1.%2.%3.%4.%5.%6.%7.%8.%9."/>
      <w:lvlJc w:val="left"/>
      <w:pPr>
        <w:ind w:left="19328" w:hanging="2160"/>
      </w:pPr>
      <w:rPr>
        <w:rFonts w:cs="Times New Roman"/>
      </w:rPr>
    </w:lvl>
  </w:abstractNum>
  <w:abstractNum w:abstractNumId="15">
    <w:multiLevelType w:val="hybridMultilevel"/>
    <w:lvl w:ilvl="0" w:tplc="C49633C4">
      <w:start w:val="1"/>
      <w:numFmt w:val="bullet"/>
      <w:lvlText w:val="-"/>
      <w:lvlJc w:val="left"/>
      <w:pPr>
        <w:tabs>
          <w:tab w:val="num" w:pos="530"/>
        </w:tabs>
        <w:ind w:left="530" w:hanging="360"/>
      </w:pPr>
      <w:rPr>
        <w:rFonts w:hint="default" w:ascii="Courier New" w:hAnsi="Courier New"/>
      </w:rPr>
    </w:lvl>
    <w:lvl w:ilvl="1" w:tplc="04190003">
      <w:start w:val="1"/>
      <w:numFmt w:val="bullet"/>
      <w:lvlText w:val="o"/>
      <w:lvlJc w:val="left"/>
      <w:pPr>
        <w:tabs>
          <w:tab w:val="num" w:pos="890"/>
        </w:tabs>
        <w:ind w:left="890" w:hanging="360"/>
      </w:pPr>
      <w:rPr>
        <w:rFonts w:hint="default" w:ascii="Courier New" w:hAnsi="Courier New"/>
      </w:rPr>
    </w:lvl>
    <w:lvl w:ilvl="2" w:tentative="1" w:tplc="04190005">
      <w:start w:val="1"/>
      <w:numFmt w:val="bullet"/>
      <w:lvlText w:val=""/>
      <w:lvlJc w:val="left"/>
      <w:pPr>
        <w:tabs>
          <w:tab w:val="num" w:pos="1610"/>
        </w:tabs>
        <w:ind w:left="1610" w:hanging="360"/>
      </w:pPr>
      <w:rPr>
        <w:rFonts w:hint="default" w:ascii="Wingdings" w:hAnsi="Wingdings"/>
      </w:rPr>
    </w:lvl>
    <w:lvl w:ilvl="3" w:tentative="1" w:tplc="04190001">
      <w:start w:val="1"/>
      <w:numFmt w:val="bullet"/>
      <w:lvlText w:val=""/>
      <w:lvlJc w:val="left"/>
      <w:pPr>
        <w:tabs>
          <w:tab w:val="num" w:pos="2330"/>
        </w:tabs>
        <w:ind w:left="2330" w:hanging="360"/>
      </w:pPr>
      <w:rPr>
        <w:rFonts w:hint="default" w:ascii="Symbol" w:hAnsi="Symbol"/>
      </w:rPr>
    </w:lvl>
    <w:lvl w:ilvl="4" w:tentative="1" w:tplc="04190003">
      <w:start w:val="1"/>
      <w:numFmt w:val="bullet"/>
      <w:lvlText w:val="o"/>
      <w:lvlJc w:val="left"/>
      <w:pPr>
        <w:tabs>
          <w:tab w:val="num" w:pos="3050"/>
        </w:tabs>
        <w:ind w:left="3050" w:hanging="360"/>
      </w:pPr>
      <w:rPr>
        <w:rFonts w:hint="default" w:ascii="Courier New" w:hAnsi="Courier New"/>
      </w:rPr>
    </w:lvl>
    <w:lvl w:ilvl="5" w:tentative="1" w:tplc="04190005">
      <w:start w:val="1"/>
      <w:numFmt w:val="bullet"/>
      <w:lvlText w:val=""/>
      <w:lvlJc w:val="left"/>
      <w:pPr>
        <w:tabs>
          <w:tab w:val="num" w:pos="3770"/>
        </w:tabs>
        <w:ind w:left="3770" w:hanging="360"/>
      </w:pPr>
      <w:rPr>
        <w:rFonts w:hint="default" w:ascii="Wingdings" w:hAnsi="Wingdings"/>
      </w:rPr>
    </w:lvl>
    <w:lvl w:ilvl="6" w:tentative="1" w:tplc="04190001">
      <w:start w:val="1"/>
      <w:numFmt w:val="bullet"/>
      <w:lvlText w:val=""/>
      <w:lvlJc w:val="left"/>
      <w:pPr>
        <w:tabs>
          <w:tab w:val="num" w:pos="4490"/>
        </w:tabs>
        <w:ind w:left="4490" w:hanging="360"/>
      </w:pPr>
      <w:rPr>
        <w:rFonts w:hint="default" w:ascii="Symbol" w:hAnsi="Symbol"/>
      </w:rPr>
    </w:lvl>
    <w:lvl w:ilvl="7" w:tentative="1" w:tplc="04190003">
      <w:start w:val="1"/>
      <w:numFmt w:val="bullet"/>
      <w:lvlText w:val="o"/>
      <w:lvlJc w:val="left"/>
      <w:pPr>
        <w:tabs>
          <w:tab w:val="num" w:pos="5210"/>
        </w:tabs>
        <w:ind w:left="5210" w:hanging="360"/>
      </w:pPr>
      <w:rPr>
        <w:rFonts w:hint="default" w:ascii="Courier New" w:hAnsi="Courier New"/>
      </w:rPr>
    </w:lvl>
    <w:lvl w:ilvl="8" w:tentative="1" w:tplc="04190005">
      <w:start w:val="1"/>
      <w:numFmt w:val="bullet"/>
      <w:lvlText w:val=""/>
      <w:lvlJc w:val="left"/>
      <w:pPr>
        <w:tabs>
          <w:tab w:val="num" w:pos="5930"/>
        </w:tabs>
        <w:ind w:left="5930" w:hanging="360"/>
      </w:pPr>
      <w:rPr>
        <w:rFonts w:hint="default" w:ascii="Wingdings" w:hAnsi="Wingdings"/>
      </w:rPr>
    </w:lvl>
  </w:abstractNum>
  <w:abstractNum w:abstractNumId="16">
    <w:multiLevelType w:val="hybridMultilevel"/>
    <w:lvl w:ilvl="0" w:tplc="04190001">
      <w:start w:val="1"/>
      <w:numFmt w:val="decimal"/>
      <w:lvlText w:val="%1."/>
      <w:lvlJc w:val="left"/>
      <w:pPr>
        <w:tabs>
          <w:tab w:val="num" w:pos="540"/>
        </w:tabs>
        <w:ind w:left="540" w:hanging="360"/>
      </w:pPr>
      <w:rPr>
        <w:rFonts w:hint="default" w:cs="Times New Roman"/>
      </w:rPr>
    </w:lvl>
    <w:lvl w:ilvl="1" w:tplc="04190003">
      <w:start w:val="1"/>
      <w:numFmt w:val="lowerLetter"/>
      <w:lvlText w:val="%2."/>
      <w:lvlJc w:val="left"/>
      <w:pPr>
        <w:tabs>
          <w:tab w:val="num" w:pos="1260"/>
        </w:tabs>
        <w:ind w:left="1260" w:hanging="360"/>
      </w:pPr>
      <w:rPr>
        <w:rFonts w:cs="Times New Roman"/>
      </w:rPr>
    </w:lvl>
    <w:lvl w:ilvl="2" w:tplc="0ED460C2">
      <w:start w:val="1"/>
      <w:numFmt w:val="bullet"/>
      <w:lvlText w:val=""/>
      <w:lvlJc w:val="left"/>
      <w:pPr>
        <w:tabs>
          <w:tab w:val="num" w:pos="1980"/>
        </w:tabs>
        <w:ind w:left="1980" w:hanging="180"/>
      </w:pPr>
      <w:rPr>
        <w:rFonts w:hint="default" w:ascii="Symbol" w:hAnsi="Symbol"/>
      </w:rPr>
    </w:lvl>
    <w:lvl w:ilvl="3" w:tentative="1" w:tplc="04190001">
      <w:start w:val="1"/>
      <w:numFmt w:val="decimal"/>
      <w:lvlText w:val="%4."/>
      <w:lvlJc w:val="left"/>
      <w:pPr>
        <w:tabs>
          <w:tab w:val="num" w:pos="2700"/>
        </w:tabs>
        <w:ind w:left="2700" w:hanging="360"/>
      </w:pPr>
      <w:rPr>
        <w:rFonts w:cs="Times New Roman"/>
      </w:rPr>
    </w:lvl>
    <w:lvl w:ilvl="4" w:tentative="1" w:tplc="04190003">
      <w:start w:val="1"/>
      <w:numFmt w:val="lowerLetter"/>
      <w:lvlText w:val="%5."/>
      <w:lvlJc w:val="left"/>
      <w:pPr>
        <w:tabs>
          <w:tab w:val="num" w:pos="3420"/>
        </w:tabs>
        <w:ind w:left="3420" w:hanging="360"/>
      </w:pPr>
      <w:rPr>
        <w:rFonts w:cs="Times New Roman"/>
      </w:rPr>
    </w:lvl>
    <w:lvl w:ilvl="5" w:tentative="1" w:tplc="04190005">
      <w:start w:val="1"/>
      <w:numFmt w:val="lowerRoman"/>
      <w:lvlText w:val="%6."/>
      <w:lvlJc w:val="right"/>
      <w:pPr>
        <w:tabs>
          <w:tab w:val="num" w:pos="4140"/>
        </w:tabs>
        <w:ind w:left="4140" w:hanging="180"/>
      </w:pPr>
      <w:rPr>
        <w:rFonts w:cs="Times New Roman"/>
      </w:rPr>
    </w:lvl>
    <w:lvl w:ilvl="6" w:tentative="1" w:tplc="04190001">
      <w:start w:val="1"/>
      <w:numFmt w:val="decimal"/>
      <w:lvlText w:val="%7."/>
      <w:lvlJc w:val="left"/>
      <w:pPr>
        <w:tabs>
          <w:tab w:val="num" w:pos="4860"/>
        </w:tabs>
        <w:ind w:left="4860" w:hanging="360"/>
      </w:pPr>
      <w:rPr>
        <w:rFonts w:cs="Times New Roman"/>
      </w:rPr>
    </w:lvl>
    <w:lvl w:ilvl="7" w:tentative="1" w:tplc="04190003">
      <w:start w:val="1"/>
      <w:numFmt w:val="lowerLetter"/>
      <w:lvlText w:val="%8."/>
      <w:lvlJc w:val="left"/>
      <w:pPr>
        <w:tabs>
          <w:tab w:val="num" w:pos="5580"/>
        </w:tabs>
        <w:ind w:left="5580" w:hanging="360"/>
      </w:pPr>
      <w:rPr>
        <w:rFonts w:cs="Times New Roman"/>
      </w:rPr>
    </w:lvl>
    <w:lvl w:ilvl="8" w:tentative="1" w:tplc="04190005">
      <w:start w:val="1"/>
      <w:numFmt w:val="lowerRoman"/>
      <w:lvlText w:val="%9."/>
      <w:lvlJc w:val="right"/>
      <w:pPr>
        <w:tabs>
          <w:tab w:val="num" w:pos="6300"/>
        </w:tabs>
        <w:ind w:left="6300" w:hanging="180"/>
      </w:pPr>
      <w:rPr>
        <w:rFonts w:cs="Times New Roman"/>
      </w:rPr>
    </w:lvl>
  </w:abstractNum>
  <w:abstractNum w:abstractNumId="17">
    <w:multiLevelType w:val="hybridMultilevel"/>
    <w:lvl w:ilvl="0" w:tplc="647425D4">
      <w:start w:val="1"/>
      <w:numFmt w:val="decimal"/>
      <w:lvlText w:val="%1."/>
      <w:lvlJc w:val="left"/>
      <w:pPr>
        <w:ind w:left="720" w:hanging="360"/>
      </w:pPr>
      <w:rPr>
        <w:rFonts w:hint="default"/>
        <w:b/>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18">
    <w:multiLevelType w:val="hybridMultilevel"/>
    <w:lvl w:ilvl="0">
      <w:start w:val="5"/>
      <w:numFmt w:val="decimal"/>
      <w:lvlText w:val="%1."/>
      <w:lvlJc w:val="left"/>
      <w:pPr>
        <w:tabs>
          <w:tab w:val="num" w:pos="390"/>
        </w:tabs>
        <w:ind w:left="390" w:hanging="390"/>
      </w:pPr>
      <w:rPr>
        <w:rFonts w:hint="default" w:cs="Times New Roman"/>
      </w:rPr>
    </w:lvl>
    <w:lvl w:ilvl="1">
      <w:start w:val="1"/>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ascii="Times New Roman" w:hAnsi="Times New Roman" w:cs="Times New Roman"/>
        <w:sz w:val="24"/>
        <w:szCs w:val="24"/>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abstractNum w:abstractNumId="19">
    <w:multiLevelType w:val="hybridMultilevel"/>
    <w:lvl w:ilvl="0" w:tplc="C49633C4">
      <w:start w:val="1"/>
      <w:numFmt w:val="bullet"/>
      <w:lvlText w:val="-"/>
      <w:lvlJc w:val="left"/>
      <w:pPr>
        <w:tabs>
          <w:tab w:val="num" w:pos="870"/>
        </w:tabs>
        <w:ind w:left="870" w:hanging="360"/>
      </w:pPr>
      <w:rPr>
        <w:rFonts w:hint="default" w:ascii="Courier New" w:hAnsi="Courier New"/>
      </w:rPr>
    </w:lvl>
    <w:lvl w:ilvl="1" w:tentative="1" w:tplc="04190003">
      <w:start w:val="1"/>
      <w:numFmt w:val="bullet"/>
      <w:lvlText w:val="o"/>
      <w:lvlJc w:val="left"/>
      <w:pPr>
        <w:tabs>
          <w:tab w:val="num" w:pos="1230"/>
        </w:tabs>
        <w:ind w:left="1230" w:hanging="360"/>
      </w:pPr>
      <w:rPr>
        <w:rFonts w:hint="default" w:ascii="Courier New" w:hAnsi="Courier New"/>
      </w:rPr>
    </w:lvl>
    <w:lvl w:ilvl="2" w:tentative="1" w:tplc="04190005">
      <w:start w:val="1"/>
      <w:numFmt w:val="bullet"/>
      <w:lvlText w:val=""/>
      <w:lvlJc w:val="left"/>
      <w:pPr>
        <w:tabs>
          <w:tab w:val="num" w:pos="1950"/>
        </w:tabs>
        <w:ind w:left="1950" w:hanging="360"/>
      </w:pPr>
      <w:rPr>
        <w:rFonts w:hint="default" w:ascii="Wingdings" w:hAnsi="Wingdings"/>
      </w:rPr>
    </w:lvl>
    <w:lvl w:ilvl="3" w:tentative="1" w:tplc="04190001">
      <w:start w:val="1"/>
      <w:numFmt w:val="bullet"/>
      <w:lvlText w:val=""/>
      <w:lvlJc w:val="left"/>
      <w:pPr>
        <w:tabs>
          <w:tab w:val="num" w:pos="2670"/>
        </w:tabs>
        <w:ind w:left="2670" w:hanging="360"/>
      </w:pPr>
      <w:rPr>
        <w:rFonts w:hint="default" w:ascii="Symbol" w:hAnsi="Symbol"/>
      </w:rPr>
    </w:lvl>
    <w:lvl w:ilvl="4" w:tentative="1" w:tplc="04190003">
      <w:start w:val="1"/>
      <w:numFmt w:val="bullet"/>
      <w:lvlText w:val="o"/>
      <w:lvlJc w:val="left"/>
      <w:pPr>
        <w:tabs>
          <w:tab w:val="num" w:pos="3390"/>
        </w:tabs>
        <w:ind w:left="3390" w:hanging="360"/>
      </w:pPr>
      <w:rPr>
        <w:rFonts w:hint="default" w:ascii="Courier New" w:hAnsi="Courier New"/>
      </w:rPr>
    </w:lvl>
    <w:lvl w:ilvl="5" w:tentative="1" w:tplc="04190005">
      <w:start w:val="1"/>
      <w:numFmt w:val="bullet"/>
      <w:lvlText w:val=""/>
      <w:lvlJc w:val="left"/>
      <w:pPr>
        <w:tabs>
          <w:tab w:val="num" w:pos="4110"/>
        </w:tabs>
        <w:ind w:left="4110" w:hanging="360"/>
      </w:pPr>
      <w:rPr>
        <w:rFonts w:hint="default" w:ascii="Wingdings" w:hAnsi="Wingdings"/>
      </w:rPr>
    </w:lvl>
    <w:lvl w:ilvl="6" w:tentative="1" w:tplc="04190001">
      <w:start w:val="1"/>
      <w:numFmt w:val="bullet"/>
      <w:lvlText w:val=""/>
      <w:lvlJc w:val="left"/>
      <w:pPr>
        <w:tabs>
          <w:tab w:val="num" w:pos="4830"/>
        </w:tabs>
        <w:ind w:left="4830" w:hanging="360"/>
      </w:pPr>
      <w:rPr>
        <w:rFonts w:hint="default" w:ascii="Symbol" w:hAnsi="Symbol"/>
      </w:rPr>
    </w:lvl>
    <w:lvl w:ilvl="7" w:tentative="1" w:tplc="04190003">
      <w:start w:val="1"/>
      <w:numFmt w:val="bullet"/>
      <w:lvlText w:val="o"/>
      <w:lvlJc w:val="left"/>
      <w:pPr>
        <w:tabs>
          <w:tab w:val="num" w:pos="5550"/>
        </w:tabs>
        <w:ind w:left="5550" w:hanging="360"/>
      </w:pPr>
      <w:rPr>
        <w:rFonts w:hint="default" w:ascii="Courier New" w:hAnsi="Courier New"/>
      </w:rPr>
    </w:lvl>
    <w:lvl w:ilvl="8" w:tentative="1" w:tplc="04190005">
      <w:start w:val="1"/>
      <w:numFmt w:val="bullet"/>
      <w:lvlText w:val=""/>
      <w:lvlJc w:val="left"/>
      <w:pPr>
        <w:tabs>
          <w:tab w:val="num" w:pos="6270"/>
        </w:tabs>
        <w:ind w:left="6270" w:hanging="360"/>
      </w:pPr>
      <w:rPr>
        <w:rFonts w:hint="default" w:ascii="Wingdings" w:hAnsi="Wingdings"/>
      </w:rPr>
    </w:lvl>
  </w:abstractNum>
  <w:abstractNum w:abstractNumId="20">
    <w:multiLevelType w:val="hybridMultilevel"/>
    <w:lvl w:ilvl="0" w:tplc="0ED460C2">
      <w:start w:val="1"/>
      <w:numFmt w:val="bullet"/>
      <w:lvlText w:val=""/>
      <w:lvlJc w:val="left"/>
      <w:pPr>
        <w:ind w:left="1260" w:hanging="360"/>
      </w:pPr>
      <w:rPr>
        <w:rFonts w:hint="default" w:ascii="Symbol" w:hAnsi="Symbol"/>
      </w:rPr>
    </w:lvl>
    <w:lvl w:ilvl="1" w:tentative="1" w:tplc="04190003">
      <w:start w:val="1"/>
      <w:numFmt w:val="bullet"/>
      <w:lvlText w:val="o"/>
      <w:lvlJc w:val="left"/>
      <w:pPr>
        <w:ind w:left="1980" w:hanging="360"/>
      </w:pPr>
      <w:rPr>
        <w:rFonts w:hint="default" w:ascii="Courier New" w:hAnsi="Courier New" w:cs="Courier New"/>
      </w:rPr>
    </w:lvl>
    <w:lvl w:ilvl="2" w:tentative="1" w:tplc="04190005">
      <w:start w:val="1"/>
      <w:numFmt w:val="bullet"/>
      <w:lvlText w:val=""/>
      <w:lvlJc w:val="left"/>
      <w:pPr>
        <w:ind w:left="2700" w:hanging="360"/>
      </w:pPr>
      <w:rPr>
        <w:rFonts w:hint="default" w:ascii="Wingdings" w:hAnsi="Wingdings"/>
      </w:rPr>
    </w:lvl>
    <w:lvl w:ilvl="3" w:tentative="1" w:tplc="04190001">
      <w:start w:val="1"/>
      <w:numFmt w:val="bullet"/>
      <w:lvlText w:val=""/>
      <w:lvlJc w:val="left"/>
      <w:pPr>
        <w:ind w:left="3420" w:hanging="360"/>
      </w:pPr>
      <w:rPr>
        <w:rFonts w:hint="default" w:ascii="Symbol" w:hAnsi="Symbol"/>
      </w:rPr>
    </w:lvl>
    <w:lvl w:ilvl="4" w:tentative="1" w:tplc="04190003">
      <w:start w:val="1"/>
      <w:numFmt w:val="bullet"/>
      <w:lvlText w:val="o"/>
      <w:lvlJc w:val="left"/>
      <w:pPr>
        <w:ind w:left="4140" w:hanging="360"/>
      </w:pPr>
      <w:rPr>
        <w:rFonts w:hint="default" w:ascii="Courier New" w:hAnsi="Courier New" w:cs="Courier New"/>
      </w:rPr>
    </w:lvl>
    <w:lvl w:ilvl="5" w:tentative="1" w:tplc="04190005">
      <w:start w:val="1"/>
      <w:numFmt w:val="bullet"/>
      <w:lvlText w:val=""/>
      <w:lvlJc w:val="left"/>
      <w:pPr>
        <w:ind w:left="4860" w:hanging="360"/>
      </w:pPr>
      <w:rPr>
        <w:rFonts w:hint="default" w:ascii="Wingdings" w:hAnsi="Wingdings"/>
      </w:rPr>
    </w:lvl>
    <w:lvl w:ilvl="6" w:tentative="1" w:tplc="04190001">
      <w:start w:val="1"/>
      <w:numFmt w:val="bullet"/>
      <w:lvlText w:val=""/>
      <w:lvlJc w:val="left"/>
      <w:pPr>
        <w:ind w:left="5580" w:hanging="360"/>
      </w:pPr>
      <w:rPr>
        <w:rFonts w:hint="default" w:ascii="Symbol" w:hAnsi="Symbol"/>
      </w:rPr>
    </w:lvl>
    <w:lvl w:ilvl="7" w:tentative="1" w:tplc="04190003">
      <w:start w:val="1"/>
      <w:numFmt w:val="bullet"/>
      <w:lvlText w:val="o"/>
      <w:lvlJc w:val="left"/>
      <w:pPr>
        <w:ind w:left="6300" w:hanging="360"/>
      </w:pPr>
      <w:rPr>
        <w:rFonts w:hint="default" w:ascii="Courier New" w:hAnsi="Courier New" w:cs="Courier New"/>
      </w:rPr>
    </w:lvl>
    <w:lvl w:ilvl="8" w:tentative="1" w:tplc="04190005">
      <w:start w:val="1"/>
      <w:numFmt w:val="bullet"/>
      <w:lvlText w:val=""/>
      <w:lvlJc w:val="left"/>
      <w:pPr>
        <w:ind w:left="7020" w:hanging="360"/>
      </w:pPr>
      <w:rPr>
        <w:rFonts w:hint="default" w:ascii="Wingdings" w:hAnsi="Wingdings"/>
      </w:rPr>
    </w:lvl>
  </w:abstractNum>
  <w:abstractNum w:abstractNumId="21">
    <w:multiLevelType w:val="hybridMultilevel"/>
    <w:lvl w:ilvl="0" w:tplc="0ED460C2">
      <w:start w:val="1"/>
      <w:numFmt w:val="bullet"/>
      <w:lvlText w:val=""/>
      <w:lvlJc w:val="left"/>
      <w:pPr>
        <w:ind w:left="1260" w:hanging="360"/>
      </w:pPr>
      <w:rPr>
        <w:rFonts w:hint="default" w:ascii="Symbol" w:hAnsi="Symbol"/>
      </w:rPr>
    </w:lvl>
    <w:lvl w:ilvl="1" w:tentative="1" w:tplc="04190019">
      <w:start w:val="1"/>
      <w:numFmt w:val="lowerLetter"/>
      <w:lvlText w:val="%2."/>
      <w:lvlJc w:val="left"/>
      <w:pPr>
        <w:ind w:left="1980" w:hanging="360"/>
      </w:pPr>
    </w:lvl>
    <w:lvl w:ilvl="2" w:tentative="1" w:tplc="0419001B">
      <w:start w:val="1"/>
      <w:numFmt w:val="lowerRoman"/>
      <w:lvlText w:val="%3."/>
      <w:lvlJc w:val="right"/>
      <w:pPr>
        <w:ind w:left="2700" w:hanging="180"/>
      </w:pPr>
    </w:lvl>
    <w:lvl w:ilvl="3" w:tentative="1" w:tplc="0419000F">
      <w:start w:val="1"/>
      <w:numFmt w:val="decimal"/>
      <w:lvlText w:val="%4."/>
      <w:lvlJc w:val="left"/>
      <w:pPr>
        <w:ind w:left="3420" w:hanging="360"/>
      </w:pPr>
    </w:lvl>
    <w:lvl w:ilvl="4" w:tentative="1" w:tplc="04190019">
      <w:start w:val="1"/>
      <w:numFmt w:val="lowerLetter"/>
      <w:lvlText w:val="%5."/>
      <w:lvlJc w:val="left"/>
      <w:pPr>
        <w:ind w:left="4140" w:hanging="360"/>
      </w:pPr>
    </w:lvl>
    <w:lvl w:ilvl="5" w:tentative="1" w:tplc="0419001B">
      <w:start w:val="1"/>
      <w:numFmt w:val="lowerRoman"/>
      <w:lvlText w:val="%6."/>
      <w:lvlJc w:val="right"/>
      <w:pPr>
        <w:ind w:left="4860" w:hanging="180"/>
      </w:pPr>
    </w:lvl>
    <w:lvl w:ilvl="6" w:tentative="1" w:tplc="0419000F">
      <w:start w:val="1"/>
      <w:numFmt w:val="decimal"/>
      <w:lvlText w:val="%7."/>
      <w:lvlJc w:val="left"/>
      <w:pPr>
        <w:ind w:left="5580" w:hanging="360"/>
      </w:pPr>
    </w:lvl>
    <w:lvl w:ilvl="7" w:tentative="1" w:tplc="04190019">
      <w:start w:val="1"/>
      <w:numFmt w:val="lowerLetter"/>
      <w:lvlText w:val="%8."/>
      <w:lvlJc w:val="left"/>
      <w:pPr>
        <w:ind w:left="6300" w:hanging="360"/>
      </w:pPr>
    </w:lvl>
    <w:lvl w:ilvl="8" w:tentative="1" w:tplc="0419001B">
      <w:start w:val="1"/>
      <w:numFmt w:val="lowerRoman"/>
      <w:lvlText w:val="%9."/>
      <w:lvlJc w:val="right"/>
      <w:pPr>
        <w:ind w:left="7020" w:hanging="180"/>
      </w:pPr>
    </w:lvl>
  </w:abstractNum>
  <w:abstractNum w:abstractNumId="22">
    <w:multiLevelType w:val="hybridMultilevel"/>
    <w:styleLink w:val="40"/>
    <w:lvl w:ilvl="0">
      <w:start w:val="4"/>
      <w:numFmt w:val="decimal"/>
      <w:lvlText w:val="%1."/>
      <w:lvlJc w:val="left"/>
      <w:pPr>
        <w:tabs>
          <w:tab w:val="num" w:pos="390"/>
        </w:tabs>
        <w:ind w:left="390" w:hanging="390"/>
      </w:pPr>
      <w:rPr>
        <w:rFonts w:hint="default" w:cs="Times New Roman"/>
      </w:rPr>
    </w:lvl>
    <w:lvl w:ilvl="1">
      <w:start w:val="1"/>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abstractNum w:abstractNumId="23">
    <w:multiLevelType w:val="hybridMultilevel"/>
    <w:lvl w:ilvl="0" w:tplc="C49633C4">
      <w:start w:val="1"/>
      <w:numFmt w:val="bullet"/>
      <w:lvlText w:val="-"/>
      <w:lvlJc w:val="left"/>
      <w:pPr>
        <w:tabs>
          <w:tab w:val="num" w:pos="1260"/>
        </w:tabs>
        <w:ind w:left="1260" w:hanging="360"/>
      </w:pPr>
      <w:rPr>
        <w:rFonts w:hint="default" w:ascii="Courier New" w:hAnsi="Courier New"/>
      </w:rPr>
    </w:lvl>
    <w:lvl w:ilvl="1" w:tplc="0419000F">
      <w:start w:val="1"/>
      <w:numFmt w:val="decimal"/>
      <w:lvlText w:val="%2."/>
      <w:lvlJc w:val="left"/>
      <w:pPr>
        <w:tabs>
          <w:tab w:val="num" w:pos="1440"/>
        </w:tabs>
        <w:ind w:left="1440" w:hanging="360"/>
      </w:pPr>
      <w:rPr>
        <w:rFonts w:hint="default" w:cs="Times New Roman"/>
      </w:rPr>
    </w:lvl>
    <w:lvl w:ilvl="2" w:tentative="1" w:tplc="04190005">
      <w:start w:val="1"/>
      <w:numFmt w:val="bullet"/>
      <w:lvlText w:val=""/>
      <w:lvlJc w:val="left"/>
      <w:pPr>
        <w:tabs>
          <w:tab w:val="num" w:pos="2160"/>
        </w:tabs>
        <w:ind w:left="2160" w:hanging="360"/>
      </w:pPr>
      <w:rPr>
        <w:rFonts w:hint="default" w:ascii="Wingdings" w:hAnsi="Wingdings"/>
      </w:rPr>
    </w:lvl>
    <w:lvl w:ilvl="3" w:tentative="1" w:tplc="04190001">
      <w:start w:val="1"/>
      <w:numFmt w:val="bullet"/>
      <w:lvlText w:val=""/>
      <w:lvlJc w:val="left"/>
      <w:pPr>
        <w:tabs>
          <w:tab w:val="num" w:pos="2880"/>
        </w:tabs>
        <w:ind w:left="2880" w:hanging="360"/>
      </w:pPr>
      <w:rPr>
        <w:rFonts w:hint="default" w:ascii="Symbol" w:hAnsi="Symbol"/>
      </w:rPr>
    </w:lvl>
    <w:lvl w:ilvl="4" w:tentative="1" w:tplc="04190003">
      <w:start w:val="1"/>
      <w:numFmt w:val="bullet"/>
      <w:lvlText w:val="o"/>
      <w:lvlJc w:val="left"/>
      <w:pPr>
        <w:tabs>
          <w:tab w:val="num" w:pos="3600"/>
        </w:tabs>
        <w:ind w:left="3600" w:hanging="360"/>
      </w:pPr>
      <w:rPr>
        <w:rFonts w:hint="default" w:ascii="Courier New" w:hAnsi="Courier New"/>
      </w:rPr>
    </w:lvl>
    <w:lvl w:ilvl="5" w:tentative="1" w:tplc="04190005">
      <w:start w:val="1"/>
      <w:numFmt w:val="bullet"/>
      <w:lvlText w:val=""/>
      <w:lvlJc w:val="left"/>
      <w:pPr>
        <w:tabs>
          <w:tab w:val="num" w:pos="4320"/>
        </w:tabs>
        <w:ind w:left="4320" w:hanging="360"/>
      </w:pPr>
      <w:rPr>
        <w:rFonts w:hint="default" w:ascii="Wingdings" w:hAnsi="Wingdings"/>
      </w:rPr>
    </w:lvl>
    <w:lvl w:ilvl="6" w:tentative="1" w:tplc="04190001">
      <w:start w:val="1"/>
      <w:numFmt w:val="bullet"/>
      <w:lvlText w:val=""/>
      <w:lvlJc w:val="left"/>
      <w:pPr>
        <w:tabs>
          <w:tab w:val="num" w:pos="5040"/>
        </w:tabs>
        <w:ind w:left="5040" w:hanging="360"/>
      </w:pPr>
      <w:rPr>
        <w:rFonts w:hint="default" w:ascii="Symbol" w:hAnsi="Symbol"/>
      </w:rPr>
    </w:lvl>
    <w:lvl w:ilvl="7" w:tentative="1" w:tplc="04190003">
      <w:start w:val="1"/>
      <w:numFmt w:val="bullet"/>
      <w:lvlText w:val="o"/>
      <w:lvlJc w:val="left"/>
      <w:pPr>
        <w:tabs>
          <w:tab w:val="num" w:pos="5760"/>
        </w:tabs>
        <w:ind w:left="5760" w:hanging="360"/>
      </w:pPr>
      <w:rPr>
        <w:rFonts w:hint="default" w:ascii="Courier New" w:hAnsi="Courier New"/>
      </w:rPr>
    </w:lvl>
    <w:lvl w:ilvl="8" w:tentative="1" w:tplc="04190005">
      <w:start w:val="1"/>
      <w:numFmt w:val="bullet"/>
      <w:lvlText w:val=""/>
      <w:lvlJc w:val="left"/>
      <w:pPr>
        <w:tabs>
          <w:tab w:val="num" w:pos="6480"/>
        </w:tabs>
        <w:ind w:left="6480" w:hanging="360"/>
      </w:pPr>
      <w:rPr>
        <w:rFonts w:hint="default" w:ascii="Wingdings" w:hAnsi="Wingdings"/>
      </w:rPr>
    </w:lvl>
  </w:abstractNum>
  <w:abstractNum w:abstractNumId="24">
    <w:multiLevelType w:val="hybridMultilevel"/>
    <w:lvl w:ilvl="0" w:tplc="0419000F">
      <w:start w:val="1"/>
      <w:numFmt w:val="decimal"/>
      <w:lvlText w:val="%1."/>
      <w:lvlJc w:val="left"/>
      <w:pPr>
        <w:ind w:left="720" w:hanging="360"/>
      </w:pPr>
      <w:rPr>
        <w:rFonts w:cs="Times New Roman"/>
      </w:rPr>
    </w:lvl>
    <w:lvl w:ilvl="1" w:tentative="1" w:tplc="04190019">
      <w:start w:val="1"/>
      <w:numFmt w:val="lowerLetter"/>
      <w:lvlText w:val="%2."/>
      <w:lvlJc w:val="left"/>
      <w:pPr>
        <w:ind w:left="1440" w:hanging="360"/>
      </w:pPr>
      <w:rPr>
        <w:rFonts w:cs="Times New Roman"/>
      </w:rPr>
    </w:lvl>
    <w:lvl w:ilvl="2" w:tentative="1" w:tplc="0419001B">
      <w:start w:val="1"/>
      <w:numFmt w:val="lowerRoman"/>
      <w:lvlText w:val="%3."/>
      <w:lvlJc w:val="right"/>
      <w:pPr>
        <w:ind w:left="2160" w:hanging="180"/>
      </w:pPr>
      <w:rPr>
        <w:rFonts w:cs="Times New Roman"/>
      </w:rPr>
    </w:lvl>
    <w:lvl w:ilvl="3" w:tentative="1" w:tplc="0419000F">
      <w:start w:val="1"/>
      <w:numFmt w:val="decimal"/>
      <w:lvlText w:val="%4."/>
      <w:lvlJc w:val="left"/>
      <w:pPr>
        <w:ind w:left="2880" w:hanging="360"/>
      </w:pPr>
      <w:rPr>
        <w:rFonts w:cs="Times New Roman"/>
      </w:rPr>
    </w:lvl>
    <w:lvl w:ilvl="4" w:tentative="1" w:tplc="04190019">
      <w:start w:val="1"/>
      <w:numFmt w:val="lowerLetter"/>
      <w:lvlText w:val="%5."/>
      <w:lvlJc w:val="left"/>
      <w:pPr>
        <w:ind w:left="3600" w:hanging="360"/>
      </w:pPr>
      <w:rPr>
        <w:rFonts w:cs="Times New Roman"/>
      </w:rPr>
    </w:lvl>
    <w:lvl w:ilvl="5" w:tentative="1" w:tplc="0419001B">
      <w:start w:val="1"/>
      <w:numFmt w:val="lowerRoman"/>
      <w:lvlText w:val="%6."/>
      <w:lvlJc w:val="right"/>
      <w:pPr>
        <w:ind w:left="4320" w:hanging="180"/>
      </w:pPr>
      <w:rPr>
        <w:rFonts w:cs="Times New Roman"/>
      </w:rPr>
    </w:lvl>
    <w:lvl w:ilvl="6" w:tentative="1" w:tplc="0419000F">
      <w:start w:val="1"/>
      <w:numFmt w:val="decimal"/>
      <w:lvlText w:val="%7."/>
      <w:lvlJc w:val="left"/>
      <w:pPr>
        <w:ind w:left="5040" w:hanging="360"/>
      </w:pPr>
      <w:rPr>
        <w:rFonts w:cs="Times New Roman"/>
      </w:rPr>
    </w:lvl>
    <w:lvl w:ilvl="7" w:tentative="1" w:tplc="04190019">
      <w:start w:val="1"/>
      <w:numFmt w:val="lowerLetter"/>
      <w:lvlText w:val="%8."/>
      <w:lvlJc w:val="left"/>
      <w:pPr>
        <w:ind w:left="5760" w:hanging="360"/>
      </w:pPr>
      <w:rPr>
        <w:rFonts w:cs="Times New Roman"/>
      </w:rPr>
    </w:lvl>
    <w:lvl w:ilvl="8" w:tentative="1" w:tplc="0419001B">
      <w:start w:val="1"/>
      <w:numFmt w:val="lowerRoman"/>
      <w:lvlText w:val="%9."/>
      <w:lvlJc w:val="right"/>
      <w:pPr>
        <w:ind w:left="6480" w:hanging="180"/>
      </w:pPr>
      <w:rPr>
        <w:rFonts w:cs="Times New Roman"/>
      </w:rPr>
    </w:lvl>
  </w:abstractNum>
  <w:abstractNum w:abstractNumId="25">
    <w:multiLevelType w:val="hybridMultilevel"/>
    <w:lvl w:ilvl="0">
      <w:start w:val="5"/>
      <w:numFmt w:val="decimal"/>
      <w:lvlText w:val="%1."/>
      <w:lvlJc w:val="left"/>
      <w:pPr>
        <w:tabs>
          <w:tab w:val="num" w:pos="0"/>
        </w:tabs>
        <w:ind w:left="390" w:hanging="390"/>
      </w:pPr>
      <w:rPr>
        <w:rFonts w:hint="default"/>
        <w:b w:val="0"/>
      </w:rPr>
    </w:lvl>
    <w:lvl w:ilvl="1">
      <w:start w:val="1"/>
      <w:numFmt w:val="decimal"/>
      <w:lvlText w:val="8.%2."/>
      <w:lvlJc w:val="left"/>
      <w:pPr>
        <w:tabs>
          <w:tab w:val="num" w:pos="0"/>
        </w:tabs>
        <w:ind w:left="720" w:hanging="720"/>
      </w:pPr>
      <w:rPr>
        <w:rFonts w:hint="default"/>
        <w:b w:val="0"/>
      </w:rPr>
    </w:lvl>
    <w:lvl w:ilvl="2">
      <w:start w:val="1"/>
      <w:numFmt w:val="decimal"/>
      <w:lvlText w:val="%1.%2.%3."/>
      <w:lvlJc w:val="left"/>
      <w:pPr>
        <w:tabs>
          <w:tab w:val="num" w:pos="0"/>
        </w:tabs>
        <w:ind w:left="720" w:hanging="720"/>
      </w:pPr>
      <w:rPr>
        <w:rFonts w:hint="default" w:cs="Times New Roman"/>
        <w:b w:val="0"/>
      </w:rPr>
    </w:lvl>
    <w:lvl w:ilvl="3">
      <w:start w:val="1"/>
      <w:numFmt w:val="decimal"/>
      <w:lvlText w:val="%1.%2.%3.%4."/>
      <w:lvlJc w:val="left"/>
      <w:pPr>
        <w:tabs>
          <w:tab w:val="num" w:pos="0"/>
        </w:tabs>
        <w:ind w:left="1080" w:hanging="1080"/>
      </w:pPr>
      <w:rPr>
        <w:rFonts w:hint="default" w:cs="Times New Roman"/>
        <w:b w:val="0"/>
      </w:rPr>
    </w:lvl>
    <w:lvl w:ilvl="4">
      <w:start w:val="1"/>
      <w:numFmt w:val="decimal"/>
      <w:lvlText w:val="%1.%2.%3.%4.%5."/>
      <w:lvlJc w:val="left"/>
      <w:pPr>
        <w:tabs>
          <w:tab w:val="num" w:pos="0"/>
        </w:tabs>
        <w:ind w:left="1080" w:hanging="1080"/>
      </w:pPr>
      <w:rPr>
        <w:rFonts w:hint="default" w:cs="Times New Roman"/>
        <w:b w:val="0"/>
      </w:rPr>
    </w:lvl>
    <w:lvl w:ilvl="5">
      <w:start w:val="1"/>
      <w:numFmt w:val="decimal"/>
      <w:lvlText w:val="%1.%2.%3.%4.%5.%6."/>
      <w:lvlJc w:val="left"/>
      <w:pPr>
        <w:tabs>
          <w:tab w:val="num" w:pos="0"/>
        </w:tabs>
        <w:ind w:left="1440" w:hanging="1440"/>
      </w:pPr>
      <w:rPr>
        <w:rFonts w:hint="default" w:cs="Times New Roman"/>
        <w:b w:val="0"/>
      </w:rPr>
    </w:lvl>
    <w:lvl w:ilvl="6">
      <w:start w:val="1"/>
      <w:numFmt w:val="decimal"/>
      <w:lvlText w:val="%1.%2.%3.%4.%5.%6.%7."/>
      <w:lvlJc w:val="left"/>
      <w:pPr>
        <w:tabs>
          <w:tab w:val="num" w:pos="0"/>
        </w:tabs>
        <w:ind w:left="1440" w:hanging="1440"/>
      </w:pPr>
      <w:rPr>
        <w:rFonts w:hint="default" w:cs="Times New Roman"/>
        <w:b w:val="0"/>
      </w:rPr>
    </w:lvl>
    <w:lvl w:ilvl="7">
      <w:start w:val="1"/>
      <w:numFmt w:val="decimal"/>
      <w:lvlText w:val="%1.%2.%3.%4.%5.%6.%7.%8."/>
      <w:lvlJc w:val="left"/>
      <w:pPr>
        <w:tabs>
          <w:tab w:val="num" w:pos="0"/>
        </w:tabs>
        <w:ind w:left="1800" w:hanging="1800"/>
      </w:pPr>
      <w:rPr>
        <w:rFonts w:hint="default" w:cs="Times New Roman"/>
        <w:b w:val="0"/>
      </w:rPr>
    </w:lvl>
    <w:lvl w:ilvl="8">
      <w:start w:val="1"/>
      <w:numFmt w:val="decimal"/>
      <w:lvlText w:val="%1.%2.%3.%4.%5.%6.%7.%8.%9."/>
      <w:lvlJc w:val="left"/>
      <w:pPr>
        <w:tabs>
          <w:tab w:val="num" w:pos="0"/>
        </w:tabs>
        <w:ind w:left="2160" w:hanging="2160"/>
      </w:pPr>
      <w:rPr>
        <w:rFonts w:hint="default" w:cs="Times New Roman"/>
        <w:b w:val="0"/>
      </w:rPr>
    </w:lvl>
  </w:abstractNum>
  <w:abstractNum w:abstractNumId="26">
    <w:multiLevelType w:val="hybridMultilevel"/>
    <w:lvl w:ilvl="0" w:tplc="C49633C4">
      <w:start w:val="1"/>
      <w:numFmt w:val="bullet"/>
      <w:lvlText w:val="-"/>
      <w:lvlJc w:val="left"/>
      <w:pPr>
        <w:tabs>
          <w:tab w:val="num" w:pos="1080"/>
        </w:tabs>
        <w:ind w:left="1080" w:hanging="360"/>
      </w:pPr>
      <w:rPr>
        <w:rFonts w:hint="default" w:ascii="Courier New" w:hAnsi="Courier New"/>
      </w:rPr>
    </w:lvl>
    <w:lvl w:ilvl="1" w:tentative="1" w:tplc="04190003">
      <w:start w:val="1"/>
      <w:numFmt w:val="bullet"/>
      <w:lvlText w:val="o"/>
      <w:lvlJc w:val="left"/>
      <w:pPr>
        <w:tabs>
          <w:tab w:val="num" w:pos="1440"/>
        </w:tabs>
        <w:ind w:left="1440" w:hanging="360"/>
      </w:pPr>
      <w:rPr>
        <w:rFonts w:hint="default" w:ascii="Courier New" w:hAnsi="Courier New"/>
      </w:rPr>
    </w:lvl>
    <w:lvl w:ilvl="2" w:tentative="1" w:tplc="04190005">
      <w:start w:val="1"/>
      <w:numFmt w:val="bullet"/>
      <w:lvlText w:val=""/>
      <w:lvlJc w:val="left"/>
      <w:pPr>
        <w:tabs>
          <w:tab w:val="num" w:pos="2160"/>
        </w:tabs>
        <w:ind w:left="2160" w:hanging="360"/>
      </w:pPr>
      <w:rPr>
        <w:rFonts w:hint="default" w:ascii="Wingdings" w:hAnsi="Wingdings"/>
      </w:rPr>
    </w:lvl>
    <w:lvl w:ilvl="3" w:tentative="1" w:tplc="04190001">
      <w:start w:val="1"/>
      <w:numFmt w:val="bullet"/>
      <w:lvlText w:val=""/>
      <w:lvlJc w:val="left"/>
      <w:pPr>
        <w:tabs>
          <w:tab w:val="num" w:pos="2880"/>
        </w:tabs>
        <w:ind w:left="2880" w:hanging="360"/>
      </w:pPr>
      <w:rPr>
        <w:rFonts w:hint="default" w:ascii="Symbol" w:hAnsi="Symbol"/>
      </w:rPr>
    </w:lvl>
    <w:lvl w:ilvl="4" w:tentative="1" w:tplc="04190003">
      <w:start w:val="1"/>
      <w:numFmt w:val="bullet"/>
      <w:lvlText w:val="o"/>
      <w:lvlJc w:val="left"/>
      <w:pPr>
        <w:tabs>
          <w:tab w:val="num" w:pos="3600"/>
        </w:tabs>
        <w:ind w:left="3600" w:hanging="360"/>
      </w:pPr>
      <w:rPr>
        <w:rFonts w:hint="default" w:ascii="Courier New" w:hAnsi="Courier New"/>
      </w:rPr>
    </w:lvl>
    <w:lvl w:ilvl="5" w:tentative="1" w:tplc="04190005">
      <w:start w:val="1"/>
      <w:numFmt w:val="bullet"/>
      <w:lvlText w:val=""/>
      <w:lvlJc w:val="left"/>
      <w:pPr>
        <w:tabs>
          <w:tab w:val="num" w:pos="4320"/>
        </w:tabs>
        <w:ind w:left="4320" w:hanging="360"/>
      </w:pPr>
      <w:rPr>
        <w:rFonts w:hint="default" w:ascii="Wingdings" w:hAnsi="Wingdings"/>
      </w:rPr>
    </w:lvl>
    <w:lvl w:ilvl="6" w:tentative="1" w:tplc="04190001">
      <w:start w:val="1"/>
      <w:numFmt w:val="bullet"/>
      <w:lvlText w:val=""/>
      <w:lvlJc w:val="left"/>
      <w:pPr>
        <w:tabs>
          <w:tab w:val="num" w:pos="5040"/>
        </w:tabs>
        <w:ind w:left="5040" w:hanging="360"/>
      </w:pPr>
      <w:rPr>
        <w:rFonts w:hint="default" w:ascii="Symbol" w:hAnsi="Symbol"/>
      </w:rPr>
    </w:lvl>
    <w:lvl w:ilvl="7" w:tentative="1" w:tplc="04190003">
      <w:start w:val="1"/>
      <w:numFmt w:val="bullet"/>
      <w:lvlText w:val="o"/>
      <w:lvlJc w:val="left"/>
      <w:pPr>
        <w:tabs>
          <w:tab w:val="num" w:pos="5760"/>
        </w:tabs>
        <w:ind w:left="5760" w:hanging="360"/>
      </w:pPr>
      <w:rPr>
        <w:rFonts w:hint="default" w:ascii="Courier New" w:hAnsi="Courier New"/>
      </w:rPr>
    </w:lvl>
    <w:lvl w:ilvl="8" w:tentative="1" w:tplc="04190005">
      <w:start w:val="1"/>
      <w:numFmt w:val="bullet"/>
      <w:lvlText w:val=""/>
      <w:lvlJc w:val="left"/>
      <w:pPr>
        <w:tabs>
          <w:tab w:val="num" w:pos="6480"/>
        </w:tabs>
        <w:ind w:left="6480" w:hanging="360"/>
      </w:pPr>
      <w:rPr>
        <w:rFonts w:hint="default" w:ascii="Wingdings" w:hAnsi="Wingdings"/>
      </w:rPr>
    </w:lvl>
  </w:abstractNum>
  <w:abstractNum w:abstractNumId="27">
    <w:multiLevelType w:val="hybridMultilevel"/>
    <w:lvl w:ilvl="0" w:tplc="C49633C4">
      <w:start w:val="1"/>
      <w:numFmt w:val="bullet"/>
      <w:lvlText w:val="-"/>
      <w:lvlJc w:val="left"/>
      <w:pPr>
        <w:tabs>
          <w:tab w:val="num" w:pos="360"/>
        </w:tabs>
        <w:ind w:left="360" w:hanging="360"/>
      </w:pPr>
      <w:rPr>
        <w:rFonts w:hint="default" w:ascii="Courier New" w:hAnsi="Courier New"/>
      </w:rPr>
    </w:lvl>
    <w:lvl w:ilvl="1" w:tentative="1" w:tplc="04190003">
      <w:start w:val="1"/>
      <w:numFmt w:val="bullet"/>
      <w:lvlText w:val="o"/>
      <w:lvlJc w:val="left"/>
      <w:pPr>
        <w:tabs>
          <w:tab w:val="num" w:pos="720"/>
        </w:tabs>
        <w:ind w:left="720" w:hanging="360"/>
      </w:pPr>
      <w:rPr>
        <w:rFonts w:hint="default" w:ascii="Courier New" w:hAnsi="Courier New"/>
      </w:rPr>
    </w:lvl>
    <w:lvl w:ilvl="2" w:tentative="1" w:tplc="04190005">
      <w:start w:val="1"/>
      <w:numFmt w:val="bullet"/>
      <w:lvlText w:val=""/>
      <w:lvlJc w:val="left"/>
      <w:pPr>
        <w:tabs>
          <w:tab w:val="num" w:pos="1440"/>
        </w:tabs>
        <w:ind w:left="1440" w:hanging="360"/>
      </w:pPr>
      <w:rPr>
        <w:rFonts w:hint="default" w:ascii="Wingdings" w:hAnsi="Wingdings"/>
      </w:rPr>
    </w:lvl>
    <w:lvl w:ilvl="3" w:tentative="1" w:tplc="04190001">
      <w:start w:val="1"/>
      <w:numFmt w:val="bullet"/>
      <w:lvlText w:val=""/>
      <w:lvlJc w:val="left"/>
      <w:pPr>
        <w:tabs>
          <w:tab w:val="num" w:pos="2160"/>
        </w:tabs>
        <w:ind w:left="2160" w:hanging="360"/>
      </w:pPr>
      <w:rPr>
        <w:rFonts w:hint="default" w:ascii="Symbol" w:hAnsi="Symbol"/>
      </w:rPr>
    </w:lvl>
    <w:lvl w:ilvl="4" w:tentative="1" w:tplc="04190003">
      <w:start w:val="1"/>
      <w:numFmt w:val="bullet"/>
      <w:lvlText w:val="o"/>
      <w:lvlJc w:val="left"/>
      <w:pPr>
        <w:tabs>
          <w:tab w:val="num" w:pos="2880"/>
        </w:tabs>
        <w:ind w:left="2880" w:hanging="360"/>
      </w:pPr>
      <w:rPr>
        <w:rFonts w:hint="default" w:ascii="Courier New" w:hAnsi="Courier New"/>
      </w:rPr>
    </w:lvl>
    <w:lvl w:ilvl="5" w:tentative="1" w:tplc="04190005">
      <w:start w:val="1"/>
      <w:numFmt w:val="bullet"/>
      <w:lvlText w:val=""/>
      <w:lvlJc w:val="left"/>
      <w:pPr>
        <w:tabs>
          <w:tab w:val="num" w:pos="3600"/>
        </w:tabs>
        <w:ind w:left="3600" w:hanging="360"/>
      </w:pPr>
      <w:rPr>
        <w:rFonts w:hint="default" w:ascii="Wingdings" w:hAnsi="Wingdings"/>
      </w:rPr>
    </w:lvl>
    <w:lvl w:ilvl="6" w:tentative="1" w:tplc="04190001">
      <w:start w:val="1"/>
      <w:numFmt w:val="bullet"/>
      <w:lvlText w:val=""/>
      <w:lvlJc w:val="left"/>
      <w:pPr>
        <w:tabs>
          <w:tab w:val="num" w:pos="4320"/>
        </w:tabs>
        <w:ind w:left="4320" w:hanging="360"/>
      </w:pPr>
      <w:rPr>
        <w:rFonts w:hint="default" w:ascii="Symbol" w:hAnsi="Symbol"/>
      </w:rPr>
    </w:lvl>
    <w:lvl w:ilvl="7" w:tentative="1" w:tplc="04190003">
      <w:start w:val="1"/>
      <w:numFmt w:val="bullet"/>
      <w:lvlText w:val="o"/>
      <w:lvlJc w:val="left"/>
      <w:pPr>
        <w:tabs>
          <w:tab w:val="num" w:pos="5040"/>
        </w:tabs>
        <w:ind w:left="5040" w:hanging="360"/>
      </w:pPr>
      <w:rPr>
        <w:rFonts w:hint="default" w:ascii="Courier New" w:hAnsi="Courier New"/>
      </w:rPr>
    </w:lvl>
    <w:lvl w:ilvl="8" w:tentative="1" w:tplc="04190005">
      <w:start w:val="1"/>
      <w:numFmt w:val="bullet"/>
      <w:lvlText w:val=""/>
      <w:lvlJc w:val="left"/>
      <w:pPr>
        <w:tabs>
          <w:tab w:val="num" w:pos="5760"/>
        </w:tabs>
        <w:ind w:left="5760" w:hanging="360"/>
      </w:pPr>
      <w:rPr>
        <w:rFonts w:hint="default" w:ascii="Wingdings" w:hAnsi="Wingdings"/>
      </w:rPr>
    </w:lvl>
  </w:abstractNum>
  <w:abstractNum w:abstractNumId="28">
    <w:multiLevelType w:val="hybridMultilevel"/>
    <w:lvl w:ilvl="0" w:tplc="9198F178">
      <w:start w:val="1"/>
      <w:numFmt w:val="russianLower"/>
      <w:lvlText w:val="%1."/>
      <w:lvlJc w:val="left"/>
      <w:pPr>
        <w:tabs>
          <w:tab w:val="num" w:pos="1080"/>
        </w:tabs>
        <w:ind w:left="1080" w:hanging="360"/>
      </w:pPr>
      <w:rPr>
        <w:rFonts w:hint="default"/>
        <w:b/>
      </w:rPr>
    </w:lvl>
    <w:lvl w:ilvl="1" w:tentative="1" w:tplc="04190003">
      <w:start w:val="1"/>
      <w:numFmt w:val="bullet"/>
      <w:lvlText w:val="o"/>
      <w:lvlJc w:val="left"/>
      <w:pPr>
        <w:tabs>
          <w:tab w:val="num" w:pos="1440"/>
        </w:tabs>
        <w:ind w:left="1440" w:hanging="360"/>
      </w:pPr>
      <w:rPr>
        <w:rFonts w:hint="default" w:ascii="Courier New" w:hAnsi="Courier New"/>
      </w:rPr>
    </w:lvl>
    <w:lvl w:ilvl="2" w:tentative="1" w:tplc="04190005">
      <w:start w:val="1"/>
      <w:numFmt w:val="bullet"/>
      <w:lvlText w:val=""/>
      <w:lvlJc w:val="left"/>
      <w:pPr>
        <w:tabs>
          <w:tab w:val="num" w:pos="2160"/>
        </w:tabs>
        <w:ind w:left="2160" w:hanging="360"/>
      </w:pPr>
      <w:rPr>
        <w:rFonts w:hint="default" w:ascii="Wingdings" w:hAnsi="Wingdings"/>
      </w:rPr>
    </w:lvl>
    <w:lvl w:ilvl="3" w:tentative="1" w:tplc="04190001">
      <w:start w:val="1"/>
      <w:numFmt w:val="bullet"/>
      <w:lvlText w:val=""/>
      <w:lvlJc w:val="left"/>
      <w:pPr>
        <w:tabs>
          <w:tab w:val="num" w:pos="2880"/>
        </w:tabs>
        <w:ind w:left="2880" w:hanging="360"/>
      </w:pPr>
      <w:rPr>
        <w:rFonts w:hint="default" w:ascii="Symbol" w:hAnsi="Symbol"/>
      </w:rPr>
    </w:lvl>
    <w:lvl w:ilvl="4" w:tentative="1" w:tplc="04190003">
      <w:start w:val="1"/>
      <w:numFmt w:val="bullet"/>
      <w:lvlText w:val="o"/>
      <w:lvlJc w:val="left"/>
      <w:pPr>
        <w:tabs>
          <w:tab w:val="num" w:pos="3600"/>
        </w:tabs>
        <w:ind w:left="3600" w:hanging="360"/>
      </w:pPr>
      <w:rPr>
        <w:rFonts w:hint="default" w:ascii="Courier New" w:hAnsi="Courier New"/>
      </w:rPr>
    </w:lvl>
    <w:lvl w:ilvl="5" w:tentative="1" w:tplc="04190005">
      <w:start w:val="1"/>
      <w:numFmt w:val="bullet"/>
      <w:lvlText w:val=""/>
      <w:lvlJc w:val="left"/>
      <w:pPr>
        <w:tabs>
          <w:tab w:val="num" w:pos="4320"/>
        </w:tabs>
        <w:ind w:left="4320" w:hanging="360"/>
      </w:pPr>
      <w:rPr>
        <w:rFonts w:hint="default" w:ascii="Wingdings" w:hAnsi="Wingdings"/>
      </w:rPr>
    </w:lvl>
    <w:lvl w:ilvl="6" w:tentative="1" w:tplc="04190001">
      <w:start w:val="1"/>
      <w:numFmt w:val="bullet"/>
      <w:lvlText w:val=""/>
      <w:lvlJc w:val="left"/>
      <w:pPr>
        <w:tabs>
          <w:tab w:val="num" w:pos="5040"/>
        </w:tabs>
        <w:ind w:left="5040" w:hanging="360"/>
      </w:pPr>
      <w:rPr>
        <w:rFonts w:hint="default" w:ascii="Symbol" w:hAnsi="Symbol"/>
      </w:rPr>
    </w:lvl>
    <w:lvl w:ilvl="7" w:tentative="1" w:tplc="04190003">
      <w:start w:val="1"/>
      <w:numFmt w:val="bullet"/>
      <w:lvlText w:val="o"/>
      <w:lvlJc w:val="left"/>
      <w:pPr>
        <w:tabs>
          <w:tab w:val="num" w:pos="5760"/>
        </w:tabs>
        <w:ind w:left="5760" w:hanging="360"/>
      </w:pPr>
      <w:rPr>
        <w:rFonts w:hint="default" w:ascii="Courier New" w:hAnsi="Courier New"/>
      </w:rPr>
    </w:lvl>
    <w:lvl w:ilvl="8" w:tentative="1" w:tplc="04190005">
      <w:start w:val="1"/>
      <w:numFmt w:val="bullet"/>
      <w:lvlText w:val=""/>
      <w:lvlJc w:val="left"/>
      <w:pPr>
        <w:tabs>
          <w:tab w:val="num" w:pos="6480"/>
        </w:tabs>
        <w:ind w:left="6480" w:hanging="360"/>
      </w:pPr>
      <w:rPr>
        <w:rFonts w:hint="default" w:ascii="Wingdings" w:hAnsi="Wingdings"/>
      </w:rPr>
    </w:lvl>
  </w:abstractNum>
  <w:abstractNum w:abstractNumId="29">
    <w:multiLevelType w:val="hybridMultilevel"/>
    <w:lvl w:ilvl="0" w:tplc="131EE1BC">
      <w:start w:val="1"/>
      <w:numFmt w:val="russianLower"/>
      <w:lvlText w:val="%1)"/>
      <w:lvlJc w:val="left"/>
      <w:pPr>
        <w:ind w:left="1260" w:hanging="360"/>
      </w:pPr>
      <w:rPr>
        <w:rFonts w:hint="default"/>
        <w:b/>
      </w:rPr>
    </w:lvl>
    <w:lvl w:ilvl="1" w:tentative="1" w:tplc="04190019">
      <w:start w:val="1"/>
      <w:numFmt w:val="lowerLetter"/>
      <w:lvlText w:val="%2."/>
      <w:lvlJc w:val="left"/>
      <w:pPr>
        <w:ind w:left="1980" w:hanging="360"/>
      </w:pPr>
    </w:lvl>
    <w:lvl w:ilvl="2" w:tentative="1" w:tplc="0419001B">
      <w:start w:val="1"/>
      <w:numFmt w:val="lowerRoman"/>
      <w:lvlText w:val="%3."/>
      <w:lvlJc w:val="right"/>
      <w:pPr>
        <w:ind w:left="2700" w:hanging="180"/>
      </w:pPr>
    </w:lvl>
    <w:lvl w:ilvl="3" w:tentative="1" w:tplc="0419000F">
      <w:start w:val="1"/>
      <w:numFmt w:val="decimal"/>
      <w:lvlText w:val="%4."/>
      <w:lvlJc w:val="left"/>
      <w:pPr>
        <w:ind w:left="3420" w:hanging="360"/>
      </w:pPr>
    </w:lvl>
    <w:lvl w:ilvl="4" w:tentative="1" w:tplc="04190019">
      <w:start w:val="1"/>
      <w:numFmt w:val="lowerLetter"/>
      <w:lvlText w:val="%5."/>
      <w:lvlJc w:val="left"/>
      <w:pPr>
        <w:ind w:left="4140" w:hanging="360"/>
      </w:pPr>
    </w:lvl>
    <w:lvl w:ilvl="5" w:tentative="1" w:tplc="0419001B">
      <w:start w:val="1"/>
      <w:numFmt w:val="lowerRoman"/>
      <w:lvlText w:val="%6."/>
      <w:lvlJc w:val="right"/>
      <w:pPr>
        <w:ind w:left="4860" w:hanging="180"/>
      </w:pPr>
    </w:lvl>
    <w:lvl w:ilvl="6" w:tentative="1" w:tplc="0419000F">
      <w:start w:val="1"/>
      <w:numFmt w:val="decimal"/>
      <w:lvlText w:val="%7."/>
      <w:lvlJc w:val="left"/>
      <w:pPr>
        <w:ind w:left="5580" w:hanging="360"/>
      </w:pPr>
    </w:lvl>
    <w:lvl w:ilvl="7" w:tentative="1" w:tplc="04190019">
      <w:start w:val="1"/>
      <w:numFmt w:val="lowerLetter"/>
      <w:lvlText w:val="%8."/>
      <w:lvlJc w:val="left"/>
      <w:pPr>
        <w:ind w:left="6300" w:hanging="360"/>
      </w:pPr>
    </w:lvl>
    <w:lvl w:ilvl="8" w:tentative="1" w:tplc="0419001B">
      <w:start w:val="1"/>
      <w:numFmt w:val="lowerRoman"/>
      <w:lvlText w:val="%9."/>
      <w:lvlJc w:val="right"/>
      <w:pPr>
        <w:ind w:left="7020" w:hanging="180"/>
      </w:pPr>
    </w:lvl>
  </w:abstractNum>
  <w:abstractNum w:abstractNumId="30">
    <w:multiLevelType w:val="hybridMultilevel"/>
    <w:lvl w:ilvl="0">
      <w:start w:val="1"/>
      <w:numFmt w:val="decimal"/>
      <w:lvlText w:val="%1."/>
      <w:lvlJc w:val="left"/>
      <w:pPr>
        <w:tabs>
          <w:tab w:val="num" w:pos="540"/>
        </w:tabs>
        <w:ind w:left="540" w:hanging="360"/>
      </w:pPr>
      <w:rPr>
        <w:rFonts w:hint="default" w:ascii="Arial" w:hAnsi="Arial" w:cs="Arial"/>
      </w:rPr>
    </w:lvl>
    <w:lvl w:ilvl="1">
      <w:start w:val="2"/>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31">
    <w:multiLevelType w:val="hybridMultilevel"/>
    <w:lvl w:ilvl="0" w:tplc="C49633C4">
      <w:start w:val="1"/>
      <w:numFmt w:val="bullet"/>
      <w:lvlText w:val="-"/>
      <w:lvlJc w:val="left"/>
      <w:pPr>
        <w:tabs>
          <w:tab w:val="num" w:pos="1720"/>
        </w:tabs>
        <w:ind w:left="1720" w:hanging="360"/>
      </w:pPr>
      <w:rPr>
        <w:rFonts w:hint="default" w:ascii="Courier New" w:hAnsi="Courier New"/>
      </w:rPr>
    </w:lvl>
    <w:lvl w:ilvl="1" w:tentative="1" w:tplc="04190003">
      <w:start w:val="1"/>
      <w:numFmt w:val="bullet"/>
      <w:lvlText w:val="o"/>
      <w:lvlJc w:val="left"/>
      <w:pPr>
        <w:tabs>
          <w:tab w:val="num" w:pos="2080"/>
        </w:tabs>
        <w:ind w:left="2080" w:hanging="360"/>
      </w:pPr>
      <w:rPr>
        <w:rFonts w:hint="default" w:ascii="Courier New" w:hAnsi="Courier New"/>
      </w:rPr>
    </w:lvl>
    <w:lvl w:ilvl="2" w:tentative="1" w:tplc="04190005">
      <w:start w:val="1"/>
      <w:numFmt w:val="bullet"/>
      <w:lvlText w:val=""/>
      <w:lvlJc w:val="left"/>
      <w:pPr>
        <w:tabs>
          <w:tab w:val="num" w:pos="2800"/>
        </w:tabs>
        <w:ind w:left="2800" w:hanging="360"/>
      </w:pPr>
      <w:rPr>
        <w:rFonts w:hint="default" w:ascii="Wingdings" w:hAnsi="Wingdings"/>
      </w:rPr>
    </w:lvl>
    <w:lvl w:ilvl="3" w:tentative="1" w:tplc="04190001">
      <w:start w:val="1"/>
      <w:numFmt w:val="bullet"/>
      <w:lvlText w:val=""/>
      <w:lvlJc w:val="left"/>
      <w:pPr>
        <w:tabs>
          <w:tab w:val="num" w:pos="3520"/>
        </w:tabs>
        <w:ind w:left="3520" w:hanging="360"/>
      </w:pPr>
      <w:rPr>
        <w:rFonts w:hint="default" w:ascii="Symbol" w:hAnsi="Symbol"/>
      </w:rPr>
    </w:lvl>
    <w:lvl w:ilvl="4" w:tentative="1" w:tplc="04190003">
      <w:start w:val="1"/>
      <w:numFmt w:val="bullet"/>
      <w:lvlText w:val="o"/>
      <w:lvlJc w:val="left"/>
      <w:pPr>
        <w:tabs>
          <w:tab w:val="num" w:pos="4240"/>
        </w:tabs>
        <w:ind w:left="4240" w:hanging="360"/>
      </w:pPr>
      <w:rPr>
        <w:rFonts w:hint="default" w:ascii="Courier New" w:hAnsi="Courier New"/>
      </w:rPr>
    </w:lvl>
    <w:lvl w:ilvl="5" w:tentative="1" w:tplc="04190005">
      <w:start w:val="1"/>
      <w:numFmt w:val="bullet"/>
      <w:lvlText w:val=""/>
      <w:lvlJc w:val="left"/>
      <w:pPr>
        <w:tabs>
          <w:tab w:val="num" w:pos="4960"/>
        </w:tabs>
        <w:ind w:left="4960" w:hanging="360"/>
      </w:pPr>
      <w:rPr>
        <w:rFonts w:hint="default" w:ascii="Wingdings" w:hAnsi="Wingdings"/>
      </w:rPr>
    </w:lvl>
    <w:lvl w:ilvl="6" w:tentative="1" w:tplc="04190001">
      <w:start w:val="1"/>
      <w:numFmt w:val="bullet"/>
      <w:lvlText w:val=""/>
      <w:lvlJc w:val="left"/>
      <w:pPr>
        <w:tabs>
          <w:tab w:val="num" w:pos="5680"/>
        </w:tabs>
        <w:ind w:left="5680" w:hanging="360"/>
      </w:pPr>
      <w:rPr>
        <w:rFonts w:hint="default" w:ascii="Symbol" w:hAnsi="Symbol"/>
      </w:rPr>
    </w:lvl>
    <w:lvl w:ilvl="7" w:tentative="1" w:tplc="04190003">
      <w:start w:val="1"/>
      <w:numFmt w:val="bullet"/>
      <w:lvlText w:val="o"/>
      <w:lvlJc w:val="left"/>
      <w:pPr>
        <w:tabs>
          <w:tab w:val="num" w:pos="6400"/>
        </w:tabs>
        <w:ind w:left="6400" w:hanging="360"/>
      </w:pPr>
      <w:rPr>
        <w:rFonts w:hint="default" w:ascii="Courier New" w:hAnsi="Courier New"/>
      </w:rPr>
    </w:lvl>
    <w:lvl w:ilvl="8" w:tentative="1" w:tplc="04190005">
      <w:start w:val="1"/>
      <w:numFmt w:val="bullet"/>
      <w:lvlText w:val=""/>
      <w:lvlJc w:val="left"/>
      <w:pPr>
        <w:tabs>
          <w:tab w:val="num" w:pos="7120"/>
        </w:tabs>
        <w:ind w:left="7120" w:hanging="360"/>
      </w:pPr>
      <w:rPr>
        <w:rFonts w:hint="default" w:ascii="Wingdings" w:hAnsi="Wingdings"/>
      </w:rPr>
    </w:lvl>
  </w:abstractNum>
  <w:abstractNum w:abstractNumId="32">
    <w:multiLevelType w:val="hybridMultilevel"/>
    <w:lvl w:ilvl="0">
      <w:start w:val="1"/>
      <w:numFmt w:val="decimal"/>
      <w:lvlText w:val="%1."/>
      <w:lvlJc w:val="left"/>
      <w:pPr>
        <w:tabs>
          <w:tab w:val="num" w:pos="540"/>
        </w:tabs>
        <w:ind w:left="540" w:hanging="360"/>
      </w:pPr>
      <w:rPr>
        <w:rFonts w:hint="default" w:ascii="Arial" w:hAnsi="Arial" w:cs="Arial"/>
      </w:rPr>
    </w:lvl>
    <w:lvl w:ilvl="1">
      <w:start w:val="2"/>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33">
    <w:multiLevelType w:val="hybridMultilevel"/>
    <w:lvl w:ilvl="0">
      <w:start w:val="2"/>
      <w:numFmt w:val="decimal"/>
      <w:lvlText w:val="%1."/>
      <w:lvlJc w:val="left"/>
      <w:pPr>
        <w:tabs>
          <w:tab w:val="num" w:pos="360"/>
        </w:tabs>
        <w:ind w:left="360" w:hanging="360"/>
      </w:pPr>
      <w:rPr>
        <w:rFonts w:hint="default" w:cs="Times New Roman"/>
        <w:sz w:val="24"/>
        <w:szCs w:val="24"/>
      </w:rPr>
    </w:lvl>
    <w:lvl w:ilvl="1">
      <w:start w:val="1"/>
      <w:numFmt w:val="decimal"/>
      <w:pStyle w:val="20"/>
      <w:isLgl/>
      <w:lvlText w:val="%1.%2."/>
      <w:lvlJc w:val="left"/>
      <w:pPr>
        <w:tabs>
          <w:tab w:val="num" w:pos="360"/>
        </w:tabs>
        <w:ind w:left="360" w:hanging="360"/>
      </w:pPr>
      <w:rPr>
        <w:rFonts w:hint="default" w:ascii="Arial" w:hAnsi="Arial" w:cs="Arial"/>
        <w:sz w:val="24"/>
        <w:szCs w:val="24"/>
      </w:rPr>
    </w:lvl>
    <w:lvl w:ilvl="2">
      <w:start w:val="1"/>
      <w:numFmt w:val="decimal"/>
      <w:isLgl/>
      <w:lvlText w:val="%1.%2.%3."/>
      <w:lvlJc w:val="left"/>
      <w:pPr>
        <w:tabs>
          <w:tab w:val="num" w:pos="720"/>
        </w:tabs>
        <w:ind w:left="720" w:hanging="720"/>
      </w:pPr>
      <w:rPr>
        <w:rFonts w:hint="default" w:cs="Times New Roman"/>
      </w:rPr>
    </w:lvl>
    <w:lvl w:ilvl="3">
      <w:start w:val="1"/>
      <w:numFmt w:val="decimal"/>
      <w:isLgl/>
      <w:lvlText w:val="%1.%2.%3.%4."/>
      <w:lvlJc w:val="left"/>
      <w:pPr>
        <w:tabs>
          <w:tab w:val="num" w:pos="720"/>
        </w:tabs>
        <w:ind w:left="720" w:hanging="720"/>
      </w:pPr>
      <w:rPr>
        <w:rFonts w:hint="default" w:cs="Times New Roman"/>
      </w:rPr>
    </w:lvl>
    <w:lvl w:ilvl="4">
      <w:start w:val="1"/>
      <w:numFmt w:val="decimal"/>
      <w:isLgl/>
      <w:lvlText w:val="%1.%2.%3.%4.%5."/>
      <w:lvlJc w:val="left"/>
      <w:pPr>
        <w:tabs>
          <w:tab w:val="num" w:pos="1080"/>
        </w:tabs>
        <w:ind w:left="1080" w:hanging="1080"/>
      </w:pPr>
      <w:rPr>
        <w:rFonts w:hint="default" w:cs="Times New Roman"/>
      </w:rPr>
    </w:lvl>
    <w:lvl w:ilvl="5">
      <w:start w:val="1"/>
      <w:numFmt w:val="decimal"/>
      <w:isLgl/>
      <w:lvlText w:val="%1.%2.%3.%4.%5.%6."/>
      <w:lvlJc w:val="left"/>
      <w:pPr>
        <w:tabs>
          <w:tab w:val="num" w:pos="1080"/>
        </w:tabs>
        <w:ind w:left="1080" w:hanging="1080"/>
      </w:pPr>
      <w:rPr>
        <w:rFonts w:hint="default" w:cs="Times New Roman"/>
      </w:rPr>
    </w:lvl>
    <w:lvl w:ilvl="6">
      <w:start w:val="1"/>
      <w:numFmt w:val="decimal"/>
      <w:isLgl/>
      <w:lvlText w:val="%1.%2.%3.%4.%5.%6.%7."/>
      <w:lvlJc w:val="left"/>
      <w:pPr>
        <w:tabs>
          <w:tab w:val="num" w:pos="1440"/>
        </w:tabs>
        <w:ind w:left="1440" w:hanging="1440"/>
      </w:pPr>
      <w:rPr>
        <w:rFonts w:hint="default" w:cs="Times New Roman"/>
      </w:rPr>
    </w:lvl>
    <w:lvl w:ilvl="7">
      <w:start w:val="1"/>
      <w:numFmt w:val="decimal"/>
      <w:isLgl/>
      <w:lvlText w:val="%1.%2.%3.%4.%5.%6.%7.%8."/>
      <w:lvlJc w:val="left"/>
      <w:pPr>
        <w:tabs>
          <w:tab w:val="num" w:pos="1440"/>
        </w:tabs>
        <w:ind w:left="1440" w:hanging="1440"/>
      </w:pPr>
      <w:rPr>
        <w:rFonts w:hint="default" w:cs="Times New Roman"/>
      </w:rPr>
    </w:lvl>
    <w:lvl w:ilvl="8">
      <w:start w:val="1"/>
      <w:numFmt w:val="decimal"/>
      <w:isLgl/>
      <w:lvlText w:val="%1.%2.%3.%4.%5.%6.%7.%8.%9."/>
      <w:lvlJc w:val="left"/>
      <w:pPr>
        <w:tabs>
          <w:tab w:val="num" w:pos="1800"/>
        </w:tabs>
        <w:ind w:left="1800" w:hanging="1800"/>
      </w:pPr>
      <w:rPr>
        <w:rFonts w:hint="default" w:cs="Times New Roman"/>
      </w:rPr>
    </w:lvl>
  </w:abstractNum>
  <w:abstractNum w:abstractNumId="34">
    <w:multiLevelType w:val="hybridMultilevel"/>
    <w:lvl w:ilvl="0">
      <w:start w:val="1"/>
      <w:numFmt w:val="decimal"/>
      <w:lvlText w:val="%1."/>
      <w:lvlJc w:val="left"/>
      <w:pPr>
        <w:ind w:left="927" w:hanging="360"/>
      </w:pPr>
      <w:rPr>
        <w:rFonts w:hint="default" w:ascii="Times New Roman" w:hAnsi="Times New Roman" w:eastAsia="Times New Roman" w:cs="Times New Roman"/>
      </w:rPr>
    </w:lvl>
    <w:lvl w:ilvl="1">
      <w:start w:val="1"/>
      <w:numFmt w:val="decimal"/>
      <w:lvlText w:val="%1.%2."/>
      <w:lvlJc w:val="left"/>
      <w:pPr>
        <w:ind w:left="1647" w:hanging="720"/>
      </w:pPr>
      <w:rPr>
        <w:rFonts w:hint="default" w:cs="Times New Roman"/>
      </w:rPr>
    </w:lvl>
    <w:lvl w:ilvl="2">
      <w:start w:val="1"/>
      <w:numFmt w:val="decimal"/>
      <w:lvlText w:val="%1.%2.%3."/>
      <w:lvlJc w:val="left"/>
      <w:pPr>
        <w:ind w:left="2007" w:hanging="720"/>
      </w:pPr>
      <w:rPr>
        <w:rFonts w:hint="default" w:cs="Times New Roman"/>
      </w:rPr>
    </w:lvl>
    <w:lvl w:ilvl="3">
      <w:start w:val="1"/>
      <w:numFmt w:val="decimal"/>
      <w:lvlText w:val="%1.%2.%3.%4."/>
      <w:lvlJc w:val="left"/>
      <w:pPr>
        <w:ind w:left="2727" w:hanging="1080"/>
      </w:pPr>
      <w:rPr>
        <w:rFonts w:hint="default" w:cs="Times New Roman"/>
      </w:rPr>
    </w:lvl>
    <w:lvl w:ilvl="4">
      <w:start w:val="1"/>
      <w:numFmt w:val="decimal"/>
      <w:lvlText w:val="%1.%2.%3.%4.%5."/>
      <w:lvlJc w:val="left"/>
      <w:pPr>
        <w:ind w:left="3087" w:hanging="1080"/>
      </w:pPr>
      <w:rPr>
        <w:rFonts w:hint="default" w:cs="Times New Roman"/>
      </w:rPr>
    </w:lvl>
    <w:lvl w:ilvl="5">
      <w:start w:val="1"/>
      <w:numFmt w:val="decimal"/>
      <w:lvlText w:val="%1.%2.%3.%4.%5.%6."/>
      <w:lvlJc w:val="left"/>
      <w:pPr>
        <w:ind w:left="3807" w:hanging="1440"/>
      </w:pPr>
      <w:rPr>
        <w:rFonts w:hint="default" w:cs="Times New Roman"/>
      </w:rPr>
    </w:lvl>
    <w:lvl w:ilvl="6">
      <w:start w:val="1"/>
      <w:numFmt w:val="decimal"/>
      <w:lvlText w:val="%1.%2.%3.%4.%5.%6.%7."/>
      <w:lvlJc w:val="left"/>
      <w:pPr>
        <w:ind w:left="4167" w:hanging="1440"/>
      </w:pPr>
      <w:rPr>
        <w:rFonts w:hint="default" w:cs="Times New Roman"/>
      </w:rPr>
    </w:lvl>
    <w:lvl w:ilvl="7">
      <w:start w:val="1"/>
      <w:numFmt w:val="decimal"/>
      <w:lvlText w:val="%1.%2.%3.%4.%5.%6.%7.%8."/>
      <w:lvlJc w:val="left"/>
      <w:pPr>
        <w:ind w:left="4887" w:hanging="1800"/>
      </w:pPr>
      <w:rPr>
        <w:rFonts w:hint="default" w:cs="Times New Roman"/>
      </w:rPr>
    </w:lvl>
    <w:lvl w:ilvl="8">
      <w:start w:val="1"/>
      <w:numFmt w:val="decimal"/>
      <w:lvlText w:val="%1.%2.%3.%4.%5.%6.%7.%8.%9."/>
      <w:lvlJc w:val="left"/>
      <w:pPr>
        <w:ind w:left="5247" w:hanging="1800"/>
      </w:pPr>
      <w:rPr>
        <w:rFonts w:hint="default" w:cs="Times New Roman"/>
      </w:rPr>
    </w:lvl>
  </w:abstractNum>
  <w:abstractNum w:abstractNumId="35">
    <w:multiLevelType w:val="hybridMultilevel"/>
    <w:lvl w:ilvl="0" w:tplc="08A4CB86">
      <w:start w:val="1"/>
      <w:numFmt w:val="decimal"/>
      <w:lvlText w:val="7.%1."/>
      <w:lvlJc w:val="left"/>
      <w:pPr>
        <w:ind w:left="720" w:hanging="360"/>
      </w:pPr>
      <w:rPr>
        <w:rFonts w:hint="default"/>
      </w:r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36">
    <w:multiLevelType w:val="hybridMultilevel"/>
    <w:lvl w:ilvl="0">
      <w:start w:val="1"/>
      <w:numFmt w:val="decimal"/>
      <w:pStyle w:val="m1"/>
      <w:lvlText w:val="%1."/>
      <w:lvlJc w:val="left"/>
      <w:pPr>
        <w:tabs>
          <w:tab w:val="num" w:pos="360"/>
        </w:tabs>
        <w:ind w:left="0" w:firstLine="0"/>
      </w:pPr>
      <w:rPr>
        <w:rFonts w:hint="default" w:ascii="Times New Roman" w:hAnsi="Times New Roman" w:cs="Times New Roman"/>
        <w:b/>
        <w:i w:val="0"/>
        <w:caps/>
        <w:strike w:val="0"/>
        <w:vanish w:val="0"/>
        <w:color w:val="000000"/>
        <w:sz w:val="28"/>
        <w:szCs w:val="28"/>
        <w:u w:val="none"/>
        <w:vertAlign w:val="baseline"/>
        <w14:shadow w14:blurRad="0" w14:dist="0" w14:dir="0" w14:sx="0" w14:sy="0" w14:kx="0" w14:ky="0" w14:algn="tl">
          <w14:srgbClr w14:val="000000"/>
        </w14:shadow>
        <w14:textOutline w14:w="0" w14:cap="rnd" w14:cmpd="sng" w14:algn="ctr">
          <w14:noFill/>
          <w14:prstDash w14:val="solid"/>
          <w14:bevel/>
        </w14:textOutline>
      </w:rPr>
    </w:lvl>
    <w:lvl w:ilvl="1">
      <w:start w:val="1"/>
      <w:numFmt w:val="decimal"/>
      <w:pStyle w:val="m2"/>
      <w:lvlText w:val="%1.%2."/>
      <w:lvlJc w:val="left"/>
      <w:pPr>
        <w:tabs>
          <w:tab w:val="num" w:pos="360"/>
        </w:tabs>
        <w:ind w:left="0" w:firstLine="0"/>
      </w:pPr>
      <w:rPr>
        <w:rFonts w:hint="default" w:ascii="Times New Roman" w:hAnsi="Times New Roman" w:cs="Times New Roman"/>
        <w:b/>
        <w:i w:val="0"/>
        <w:caps w:val="0"/>
        <w:strike w:val="0"/>
        <w:vanish w:val="0"/>
        <w:color w:val="000000"/>
        <w:sz w:val="24"/>
        <w:u w:val="none"/>
        <w:vertAlign w:val="baseline"/>
        <w14:shadow w14:blurRad="0" w14:dist="0" w14:dir="0" w14:sx="0" w14:sy="0" w14:kx="0" w14:ky="0" w14:algn="tl">
          <w14:srgbClr w14:val="000000"/>
        </w14:shadow>
        <w14:textOutline w14:w="0" w14:cap="rnd" w14:cmpd="sng" w14:algn="ctr">
          <w14:noFill/>
          <w14:prstDash w14:val="solid"/>
          <w14:bevel/>
        </w14:textOutline>
      </w:rPr>
    </w:lvl>
    <w:lvl w:ilvl="2">
      <w:start w:val="1"/>
      <w:numFmt w:val="decimal"/>
      <w:pStyle w:val="m3"/>
      <w:lvlText w:val="%1.%2.%3."/>
      <w:lvlJc w:val="left"/>
      <w:pPr>
        <w:tabs>
          <w:tab w:val="num" w:pos="720"/>
        </w:tabs>
        <w:ind w:left="0" w:firstLine="0"/>
      </w:pPr>
      <w:rPr>
        <w:rFonts w:hint="default" w:ascii="Times New Roman" w:hAnsi="Times New Roman" w:cs="Times New Roman"/>
        <w:b/>
        <w:i w:val="0"/>
        <w:caps w:val="0"/>
        <w:strike w:val="0"/>
        <w:vanish w:val="0"/>
        <w:color w:val="000000"/>
        <w:sz w:val="24"/>
        <w:u w:val="none"/>
        <w:vertAlign w:val="baseline"/>
        <w14:shadow w14:blurRad="0" w14:dist="0" w14:dir="0" w14:sx="0" w14:sy="0" w14:kx="0" w14:ky="0" w14:algn="tl">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multiLevelType w:val="hybridMultilevel"/>
    <w:lvl w:ilvl="0" w:tplc="0419000F">
      <w:start w:val="1"/>
      <w:numFmt w:val="decimal"/>
      <w:lvlText w:val="%1."/>
      <w:lvlJc w:val="left"/>
      <w:pPr>
        <w:ind w:left="720" w:hanging="360"/>
      </w:p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38">
    <w:multiLevelType w:val="hybridMultilevel"/>
    <w:lvl w:ilvl="0" w:tplc="9198F178">
      <w:start w:val="1"/>
      <w:numFmt w:val="russianLower"/>
      <w:lvlText w:val="%1."/>
      <w:lvlJc w:val="left"/>
      <w:pPr>
        <w:tabs>
          <w:tab w:val="num" w:pos="1080"/>
        </w:tabs>
        <w:ind w:left="1080" w:hanging="360"/>
      </w:pPr>
      <w:rPr>
        <w:rFonts w:hint="default"/>
        <w:b/>
      </w:rPr>
    </w:lvl>
    <w:lvl w:ilvl="1" w:tentative="1" w:tplc="04190003">
      <w:start w:val="1"/>
      <w:numFmt w:val="bullet"/>
      <w:lvlText w:val="o"/>
      <w:lvlJc w:val="left"/>
      <w:pPr>
        <w:tabs>
          <w:tab w:val="num" w:pos="1440"/>
        </w:tabs>
        <w:ind w:left="1440" w:hanging="360"/>
      </w:pPr>
      <w:rPr>
        <w:rFonts w:hint="default" w:ascii="Courier New" w:hAnsi="Courier New"/>
      </w:rPr>
    </w:lvl>
    <w:lvl w:ilvl="2" w:tentative="1" w:tplc="04190005">
      <w:start w:val="1"/>
      <w:numFmt w:val="bullet"/>
      <w:lvlText w:val=""/>
      <w:lvlJc w:val="left"/>
      <w:pPr>
        <w:tabs>
          <w:tab w:val="num" w:pos="2160"/>
        </w:tabs>
        <w:ind w:left="2160" w:hanging="360"/>
      </w:pPr>
      <w:rPr>
        <w:rFonts w:hint="default" w:ascii="Wingdings" w:hAnsi="Wingdings"/>
      </w:rPr>
    </w:lvl>
    <w:lvl w:ilvl="3" w:tentative="1" w:tplc="04190001">
      <w:start w:val="1"/>
      <w:numFmt w:val="bullet"/>
      <w:lvlText w:val=""/>
      <w:lvlJc w:val="left"/>
      <w:pPr>
        <w:tabs>
          <w:tab w:val="num" w:pos="2880"/>
        </w:tabs>
        <w:ind w:left="2880" w:hanging="360"/>
      </w:pPr>
      <w:rPr>
        <w:rFonts w:hint="default" w:ascii="Symbol" w:hAnsi="Symbol"/>
      </w:rPr>
    </w:lvl>
    <w:lvl w:ilvl="4" w:tentative="1" w:tplc="04190003">
      <w:start w:val="1"/>
      <w:numFmt w:val="bullet"/>
      <w:lvlText w:val="o"/>
      <w:lvlJc w:val="left"/>
      <w:pPr>
        <w:tabs>
          <w:tab w:val="num" w:pos="3600"/>
        </w:tabs>
        <w:ind w:left="3600" w:hanging="360"/>
      </w:pPr>
      <w:rPr>
        <w:rFonts w:hint="default" w:ascii="Courier New" w:hAnsi="Courier New"/>
      </w:rPr>
    </w:lvl>
    <w:lvl w:ilvl="5" w:tentative="1" w:tplc="04190005">
      <w:start w:val="1"/>
      <w:numFmt w:val="bullet"/>
      <w:lvlText w:val=""/>
      <w:lvlJc w:val="left"/>
      <w:pPr>
        <w:tabs>
          <w:tab w:val="num" w:pos="4320"/>
        </w:tabs>
        <w:ind w:left="4320" w:hanging="360"/>
      </w:pPr>
      <w:rPr>
        <w:rFonts w:hint="default" w:ascii="Wingdings" w:hAnsi="Wingdings"/>
      </w:rPr>
    </w:lvl>
    <w:lvl w:ilvl="6" w:tentative="1" w:tplc="04190001">
      <w:start w:val="1"/>
      <w:numFmt w:val="bullet"/>
      <w:lvlText w:val=""/>
      <w:lvlJc w:val="left"/>
      <w:pPr>
        <w:tabs>
          <w:tab w:val="num" w:pos="5040"/>
        </w:tabs>
        <w:ind w:left="5040" w:hanging="360"/>
      </w:pPr>
      <w:rPr>
        <w:rFonts w:hint="default" w:ascii="Symbol" w:hAnsi="Symbol"/>
      </w:rPr>
    </w:lvl>
    <w:lvl w:ilvl="7" w:tentative="1" w:tplc="04190003">
      <w:start w:val="1"/>
      <w:numFmt w:val="bullet"/>
      <w:lvlText w:val="o"/>
      <w:lvlJc w:val="left"/>
      <w:pPr>
        <w:tabs>
          <w:tab w:val="num" w:pos="5760"/>
        </w:tabs>
        <w:ind w:left="5760" w:hanging="360"/>
      </w:pPr>
      <w:rPr>
        <w:rFonts w:hint="default" w:ascii="Courier New" w:hAnsi="Courier New"/>
      </w:rPr>
    </w:lvl>
    <w:lvl w:ilvl="8" w:tentative="1" w:tplc="04190005">
      <w:start w:val="1"/>
      <w:numFmt w:val="bullet"/>
      <w:lvlText w:val=""/>
      <w:lvlJc w:val="left"/>
      <w:pPr>
        <w:tabs>
          <w:tab w:val="num" w:pos="6480"/>
        </w:tabs>
        <w:ind w:left="6480" w:hanging="360"/>
      </w:pPr>
      <w:rPr>
        <w:rFonts w:hint="default" w:ascii="Wingdings" w:hAnsi="Wingdings"/>
      </w:rPr>
    </w:lvl>
  </w:abstractNum>
  <w:num w:numId="1">
    <w:abstractNumId w:val="9"/>
  </w:num>
  <w:num w:numId="2">
    <w:abstractNumId w:val="33"/>
  </w:num>
  <w:num w:numId="3">
    <w:abstractNumId w:val="13"/>
  </w:num>
  <w:num w:numId="4">
    <w:abstractNumId w:val="6"/>
  </w:num>
  <w:num w:numId="5">
    <w:abstractNumId w:val="27"/>
  </w:num>
  <w:num w:numId="6">
    <w:abstractNumId w:val="15"/>
  </w:num>
  <w:num w:numId="7">
    <w:abstractNumId w:val="1"/>
  </w:num>
  <w:num w:numId="8">
    <w:abstractNumId w:val="19"/>
  </w:num>
  <w:num w:numId="9">
    <w:abstractNumId w:val="4"/>
  </w:num>
  <w:num w:numId="10">
    <w:abstractNumId w:val="23"/>
  </w:num>
  <w:num w:numId="11">
    <w:abstractNumId w:val="31"/>
  </w:num>
  <w:num w:numId="12">
    <w:abstractNumId w:val="26"/>
  </w:num>
  <w:num w:numId="13">
    <w:abstractNumId w:val="18"/>
  </w:num>
  <w:num w:numId="14">
    <w:abstractNumId w:val="5"/>
  </w:num>
  <w:num w:numId="15">
    <w:abstractNumId w:val="22"/>
  </w:num>
  <w:num w:numId="16">
    <w:abstractNumId w:val="11"/>
  </w:num>
  <w:num w:numId="17">
    <w:abstractNumId w:val="29"/>
  </w:num>
  <w:num w:numId="18">
    <w:abstractNumId w:val="3"/>
  </w:num>
  <w:num w:numId="19">
    <w:abstractNumId w:val="20"/>
  </w:num>
  <w:num w:numId="20">
    <w:abstractNumId w:val="21"/>
  </w:num>
  <w:num w:numId="21">
    <w:abstractNumId w:val="14"/>
  </w:num>
  <w:num w:numId="22">
    <w:abstractNumId w:val="16"/>
  </w:num>
  <w:num w:numId="23">
    <w:abstractNumId w:val="12"/>
  </w:num>
  <w:num w:numId="24">
    <w:abstractNumId w:val="17"/>
  </w:num>
  <w:num w:numId="25">
    <w:abstractNumId w:val="2"/>
  </w:num>
  <w:num w:numId="26">
    <w:abstractNumId w:val="0"/>
  </w:num>
  <w:num w:numId="27">
    <w:abstractNumId w:val="25"/>
  </w:num>
  <w:num w:numId="28">
    <w:abstractNumId w:val="34"/>
  </w:num>
  <w:num w:numId="29">
    <w:abstractNumId w:val="24"/>
  </w:num>
  <w:num w:numId="30">
    <w:abstractNumId w:val="28"/>
  </w:num>
  <w:num w:numId="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35"/>
  </w:num>
  <w:num w:numId="34">
    <w:abstractNumId w:val="7"/>
  </w:num>
  <w:num w:numId="35">
    <w:abstractNumId w:val="36"/>
  </w:num>
  <w:num w:numId="36">
    <w:abstractNumId w:val="10"/>
  </w:num>
  <w:num w:numId="37">
    <w:abstractNumId w:val="30"/>
  </w:num>
  <w:num w:numId="38">
    <w:abstractNumId w:val="32"/>
  </w:num>
  <w:num w:numId="39">
    <w:abstractNumId w:val="8"/>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trackedChanges"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rPr>
      <w:rFonts w:ascii="Times New Roman" w:hAnsi="Times New Roman" w:eastAsia="Times New Roman"/>
      <w:sz w:val="24"/>
      <w:szCs w:val="24"/>
    </w:rPr>
  </w:style>
  <w:style w:type="paragraph" w:styleId="1">
    <w:name w:val="heading 1"/>
    <w:basedOn w:val="a"/>
    <w:next w:val="a"/>
    <w:link w:val="10"/>
    <w:uiPriority w:val="99"/>
    <w:qFormat/>
    <w:pPr>
      <w:keepNext/>
      <w:numPr>
        <w:numId w:val="1"/>
      </w:numPr>
      <w:outlineLvl w:val="0"/>
    </w:pPr>
    <w:rPr>
      <w:b/>
      <w:bCs/>
    </w:rPr>
  </w:style>
  <w:style w:type="paragraph" w:styleId="2">
    <w:name w:val="heading 2"/>
    <w:basedOn w:val="a"/>
    <w:next w:val="a"/>
    <w:link w:val="21"/>
    <w:uiPriority w:val="99"/>
    <w:qFormat/>
    <w:pPr>
      <w:keepNext/>
      <w:numPr>
        <w:numId w:val="1"/>
        <w:ilvl w:val="1"/>
      </w:numPr>
      <w:outlineLvl w:val="1"/>
    </w:pPr>
    <w:rPr>
      <w:sz w:val="28"/>
    </w:rPr>
  </w:style>
  <w:style w:type="paragraph" w:styleId="30">
    <w:name w:val="heading 3"/>
    <w:basedOn w:val="a"/>
    <w:next w:val="a"/>
    <w:link w:val="31"/>
    <w:uiPriority w:val="99"/>
    <w:qFormat/>
    <w:pPr>
      <w:keepNext/>
      <w:numPr>
        <w:numId w:val="1"/>
        <w:ilvl w:val="2"/>
      </w:numPr>
      <w:outlineLvl w:val="2"/>
    </w:pPr>
    <w:rPr>
      <w:b/>
      <w:bCs/>
      <w:sz w:val="28"/>
    </w:rPr>
  </w:style>
  <w:style w:type="paragraph" w:styleId="4">
    <w:name w:val="heading 4"/>
    <w:basedOn w:val="a"/>
    <w:next w:val="a"/>
    <w:link w:val="41"/>
    <w:uiPriority w:val="99"/>
    <w:qFormat/>
    <w:pPr>
      <w:keepNext/>
      <w:numPr>
        <w:numId w:val="1"/>
        <w:ilvl w:val="3"/>
      </w:numPr>
      <w:jc w:val="both"/>
      <w:outlineLvl w:val="3"/>
    </w:pPr>
    <w:rPr>
      <w:b/>
      <w:bCs/>
    </w:rPr>
  </w:style>
  <w:style w:type="paragraph" w:styleId="5">
    <w:name w:val="heading 5"/>
    <w:basedOn w:val="a"/>
    <w:next w:val="a"/>
    <w:link w:val="50"/>
    <w:uiPriority w:val="99"/>
    <w:qFormat/>
    <w:pPr>
      <w:keepNext/>
      <w:numPr>
        <w:numId w:val="1"/>
        <w:ilvl w:val="4"/>
      </w:numPr>
      <w:spacing w:line="360" w:lineRule="auto"/>
      <w:ind w:right="-5"/>
      <w:jc w:val="both"/>
      <w:outlineLvl w:val="4"/>
    </w:pPr>
    <w:rPr>
      <w:b/>
      <w:bCs/>
    </w:rPr>
  </w:style>
  <w:style w:type="paragraph" w:styleId="6">
    <w:name w:val="heading 6"/>
    <w:basedOn w:val="a"/>
    <w:next w:val="a"/>
    <w:link w:val="60"/>
    <w:uiPriority w:val="99"/>
    <w:qFormat/>
    <w:pPr>
      <w:keepNext/>
      <w:numPr>
        <w:numId w:val="1"/>
        <w:ilvl w:val="5"/>
      </w:numPr>
      <w:jc w:val="both"/>
      <w:outlineLvl w:val="5"/>
    </w:pPr>
    <w:rPr>
      <w:b/>
      <w:bCs/>
      <w:szCs w:val="20"/>
    </w:rPr>
  </w:style>
  <w:style w:type="paragraph" w:styleId="7">
    <w:name w:val="heading 7"/>
    <w:basedOn w:val="a"/>
    <w:next w:val="a"/>
    <w:link w:val="70"/>
    <w:uiPriority w:val="99"/>
    <w:qFormat/>
    <w:pPr>
      <w:keepNext/>
      <w:framePr w:hSpace="180" w:wrap="around" w:vAnchor="text" w:hAnchor="margin" w:y="86"/>
      <w:numPr>
        <w:numId w:val="1"/>
        <w:ilvl w:val="6"/>
      </w:numPr>
      <w:outlineLvl w:val="6"/>
    </w:pPr>
    <w:rPr>
      <w:b/>
      <w:bCs/>
      <w:sz w:val="22"/>
    </w:rPr>
  </w:style>
  <w:style w:type="paragraph" w:styleId="8">
    <w:name w:val="heading 8"/>
    <w:basedOn w:val="a"/>
    <w:next w:val="a"/>
    <w:link w:val="80"/>
    <w:uiPriority w:val="99"/>
    <w:qFormat/>
    <w:pPr>
      <w:keepNext/>
      <w:numPr>
        <w:numId w:val="1"/>
        <w:ilvl w:val="7"/>
      </w:numPr>
      <w:spacing w:line="360" w:lineRule="auto"/>
      <w:ind w:right="354"/>
      <w:jc w:val="right"/>
      <w:outlineLvl w:val="7"/>
    </w:pPr>
    <w:rPr>
      <w:b/>
      <w:sz w:val="28"/>
    </w:rPr>
  </w:style>
  <w:style w:type="paragraph" w:styleId="9">
    <w:name w:val="heading 9"/>
    <w:basedOn w:val="a"/>
    <w:next w:val="a"/>
    <w:link w:val="90"/>
    <w:uiPriority w:val="99"/>
    <w:qFormat/>
    <w:pPr>
      <w:keepNext/>
      <w:numPr>
        <w:numId w:val="1"/>
        <w:ilvl w:val="8"/>
      </w:numPr>
      <w:outlineLvl w:val="8"/>
    </w:pPr>
    <w:rPr>
      <w:b/>
      <w:bCs/>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10" w:customStyle="1">
    <w:name w:val="Заголовок 1 Знак"/>
    <w:link w:val="1"/>
    <w:uiPriority w:val="99"/>
    <w:locked/>
    <w:rPr>
      <w:rFonts w:ascii="Times New Roman" w:hAnsi="Times New Roman" w:eastAsia="Times New Roman"/>
      <w:b/>
      <w:bCs/>
      <w:sz w:val="24"/>
      <w:szCs w:val="24"/>
    </w:rPr>
  </w:style>
  <w:style w:type="character" w:styleId="21" w:customStyle="1">
    <w:name w:val="Заголовок 2 Знак"/>
    <w:link w:val="2"/>
    <w:uiPriority w:val="99"/>
    <w:locked/>
    <w:rPr>
      <w:rFonts w:ascii="Times New Roman" w:hAnsi="Times New Roman" w:eastAsia="Times New Roman"/>
      <w:sz w:val="28"/>
      <w:szCs w:val="24"/>
    </w:rPr>
  </w:style>
  <w:style w:type="character" w:styleId="31" w:customStyle="1">
    <w:name w:val="Заголовок 3 Знак"/>
    <w:link w:val="30"/>
    <w:uiPriority w:val="99"/>
    <w:locked/>
    <w:rPr>
      <w:rFonts w:ascii="Times New Roman" w:hAnsi="Times New Roman" w:eastAsia="Times New Roman"/>
      <w:b/>
      <w:bCs/>
      <w:sz w:val="28"/>
      <w:szCs w:val="24"/>
    </w:rPr>
  </w:style>
  <w:style w:type="character" w:styleId="41" w:customStyle="1">
    <w:name w:val="Заголовок 4 Знак"/>
    <w:link w:val="4"/>
    <w:uiPriority w:val="99"/>
    <w:locked/>
    <w:rPr>
      <w:rFonts w:ascii="Times New Roman" w:hAnsi="Times New Roman" w:eastAsia="Times New Roman"/>
      <w:b/>
      <w:bCs/>
      <w:sz w:val="24"/>
      <w:szCs w:val="24"/>
    </w:rPr>
  </w:style>
  <w:style w:type="character" w:styleId="50" w:customStyle="1">
    <w:name w:val="Заголовок 5 Знак"/>
    <w:link w:val="5"/>
    <w:uiPriority w:val="99"/>
    <w:locked/>
    <w:rPr>
      <w:rFonts w:ascii="Times New Roman" w:hAnsi="Times New Roman" w:eastAsia="Times New Roman"/>
      <w:b/>
      <w:bCs/>
      <w:sz w:val="24"/>
      <w:szCs w:val="24"/>
    </w:rPr>
  </w:style>
  <w:style w:type="character" w:styleId="60" w:customStyle="1">
    <w:name w:val="Заголовок 6 Знак"/>
    <w:link w:val="6"/>
    <w:uiPriority w:val="99"/>
    <w:locked/>
    <w:rPr>
      <w:rFonts w:ascii="Times New Roman" w:hAnsi="Times New Roman" w:eastAsia="Times New Roman"/>
      <w:b/>
      <w:bCs/>
      <w:sz w:val="24"/>
    </w:rPr>
  </w:style>
  <w:style w:type="character" w:styleId="70" w:customStyle="1">
    <w:name w:val="Заголовок 7 Знак"/>
    <w:link w:val="7"/>
    <w:uiPriority w:val="99"/>
    <w:locked/>
    <w:rPr>
      <w:rFonts w:ascii="Times New Roman" w:hAnsi="Times New Roman" w:eastAsia="Times New Roman"/>
      <w:b/>
      <w:bCs/>
      <w:sz w:val="22"/>
      <w:szCs w:val="24"/>
    </w:rPr>
  </w:style>
  <w:style w:type="character" w:styleId="80" w:customStyle="1">
    <w:name w:val="Заголовок 8 Знак"/>
    <w:link w:val="8"/>
    <w:uiPriority w:val="99"/>
    <w:locked/>
    <w:rPr>
      <w:rFonts w:ascii="Times New Roman" w:hAnsi="Times New Roman" w:eastAsia="Times New Roman"/>
      <w:b/>
      <w:sz w:val="28"/>
      <w:szCs w:val="24"/>
    </w:rPr>
  </w:style>
  <w:style w:type="character" w:styleId="90" w:customStyle="1">
    <w:name w:val="Заголовок 9 Знак"/>
    <w:link w:val="9"/>
    <w:uiPriority w:val="99"/>
    <w:locked/>
    <w:rPr>
      <w:rFonts w:ascii="Times New Roman" w:hAnsi="Times New Roman" w:eastAsia="Times New Roman"/>
      <w:b/>
      <w:bCs/>
      <w:sz w:val="24"/>
      <w:szCs w:val="24"/>
    </w:rPr>
  </w:style>
  <w:style w:type="paragraph" w:styleId="a3">
    <w:name w:val="List Bullet"/>
    <w:basedOn w:val="a4"/>
    <w:uiPriority w:val="99"/>
    <w:pPr>
      <w:ind w:left="714" w:hanging="357"/>
      <w:jc w:val="both"/>
    </w:pPr>
    <w:rPr>
      <w:rFonts w:ascii="TimesET" w:hAnsi="TimesET"/>
      <w:szCs w:val="20"/>
    </w:rPr>
  </w:style>
  <w:style w:type="paragraph" w:styleId="a4">
    <w:name w:val="List"/>
    <w:basedOn w:val="a"/>
    <w:uiPriority w:val="99"/>
    <w:pPr>
      <w:ind w:left="283" w:hanging="283"/>
    </w:pPr>
  </w:style>
  <w:style w:type="paragraph" w:styleId="a5" w:customStyle="1">
    <w:name w:val="Абзац"/>
    <w:basedOn w:val="a"/>
    <w:uiPriority w:val="99"/>
    <w:pPr>
      <w:ind w:firstLine="714"/>
      <w:jc w:val="both"/>
    </w:pPr>
    <w:rPr>
      <w:rFonts w:ascii="TimesET" w:hAnsi="TimesET"/>
      <w:szCs w:val="20"/>
    </w:rPr>
  </w:style>
  <w:style w:type="character" w:styleId="a6">
    <w:name w:val="footnote reference"/>
    <w:uiPriority w:val="99"/>
    <w:semiHidden/>
    <w:rPr>
      <w:rFonts w:cs="Times New Roman"/>
      <w:vertAlign w:val="superscript"/>
    </w:rPr>
  </w:style>
  <w:style w:type="paragraph" w:styleId="a7">
    <w:name w:val="footnote text"/>
    <w:basedOn w:val="a"/>
    <w:link w:val="a8"/>
    <w:uiPriority w:val="99"/>
    <w:semiHidden/>
    <w:rPr>
      <w:rFonts w:ascii="TimesET" w:hAnsi="TimesET"/>
      <w:sz w:val="20"/>
      <w:szCs w:val="20"/>
    </w:rPr>
  </w:style>
  <w:style w:type="character" w:styleId="a8" w:customStyle="1">
    <w:name w:val="Текст сноски Знак"/>
    <w:link w:val="a7"/>
    <w:uiPriority w:val="99"/>
    <w:semiHidden/>
    <w:locked/>
    <w:rPr>
      <w:rFonts w:ascii="TimesET" w:hAnsi="TimesET" w:cs="Times New Roman"/>
      <w:sz w:val="20"/>
      <w:szCs w:val="20"/>
      <w:lang w:eastAsia="ru-RU"/>
    </w:rPr>
  </w:style>
  <w:style w:type="paragraph" w:styleId="a9">
    <w:name w:val="Body Text Indent"/>
    <w:basedOn w:val="a"/>
    <w:link w:val="aa"/>
    <w:uiPriority w:val="99"/>
    <w:pPr>
      <w:ind w:left="360"/>
    </w:pPr>
    <w:rPr>
      <w:sz w:val="20"/>
    </w:rPr>
  </w:style>
  <w:style w:type="character" w:styleId="aa" w:customStyle="1">
    <w:name w:val="Основной текст с отступом Знак"/>
    <w:link w:val="a9"/>
    <w:uiPriority w:val="99"/>
    <w:locked/>
    <w:rPr>
      <w:rFonts w:ascii="Times New Roman" w:hAnsi="Times New Roman" w:cs="Times New Roman"/>
      <w:sz w:val="24"/>
      <w:szCs w:val="24"/>
      <w:lang w:eastAsia="ru-RU"/>
    </w:rPr>
  </w:style>
  <w:style w:type="paragraph" w:styleId="22">
    <w:name w:val="Body Text Indent 2"/>
    <w:basedOn w:val="a"/>
    <w:link w:val="23"/>
    <w:uiPriority w:val="99"/>
    <w:pPr>
      <w:spacing w:line="360" w:lineRule="auto"/>
      <w:ind w:left="360"/>
    </w:pPr>
  </w:style>
  <w:style w:type="character" w:styleId="23" w:customStyle="1">
    <w:name w:val="Основной текст с отступом 2 Знак"/>
    <w:link w:val="22"/>
    <w:uiPriority w:val="99"/>
    <w:locked/>
    <w:rPr>
      <w:rFonts w:ascii="Times New Roman" w:hAnsi="Times New Roman" w:cs="Times New Roman"/>
      <w:sz w:val="24"/>
      <w:szCs w:val="24"/>
      <w:lang w:eastAsia="ru-RU"/>
    </w:rPr>
  </w:style>
  <w:style w:type="paragraph" w:styleId="32">
    <w:name w:val="Body Text Indent 3"/>
    <w:basedOn w:val="a"/>
    <w:link w:val="33"/>
    <w:uiPriority w:val="99"/>
    <w:pPr>
      <w:spacing w:line="360" w:lineRule="auto"/>
      <w:ind w:firstLine="720"/>
      <w:jc w:val="both"/>
    </w:pPr>
  </w:style>
  <w:style w:type="character" w:styleId="33" w:customStyle="1">
    <w:name w:val="Основной текст с отступом 3 Знак"/>
    <w:link w:val="32"/>
    <w:uiPriority w:val="99"/>
    <w:locked/>
    <w:rPr>
      <w:rFonts w:ascii="Times New Roman" w:hAnsi="Times New Roman" w:cs="Times New Roman"/>
      <w:sz w:val="24"/>
      <w:szCs w:val="24"/>
      <w:lang w:eastAsia="ru-RU"/>
    </w:rPr>
  </w:style>
  <w:style w:type="paragraph" w:styleId="ab">
    <w:name w:val="Body Text"/>
    <w:basedOn w:val="a"/>
    <w:link w:val="ac"/>
    <w:uiPriority w:val="99"/>
    <w:pPr>
      <w:spacing w:line="360" w:lineRule="auto"/>
      <w:jc w:val="center"/>
    </w:pPr>
    <w:rPr>
      <w:szCs w:val="20"/>
    </w:rPr>
  </w:style>
  <w:style w:type="character" w:styleId="ac" w:customStyle="1">
    <w:name w:val="Основной текст Знак"/>
    <w:link w:val="ab"/>
    <w:uiPriority w:val="99"/>
    <w:locked/>
    <w:rPr>
      <w:rFonts w:ascii="Times New Roman" w:hAnsi="Times New Roman" w:cs="Times New Roman"/>
      <w:sz w:val="20"/>
      <w:szCs w:val="20"/>
      <w:lang w:eastAsia="ru-RU"/>
    </w:rPr>
  </w:style>
  <w:style w:type="paragraph" w:styleId="24">
    <w:name w:val="Body Text 2"/>
    <w:basedOn w:val="a"/>
    <w:link w:val="25"/>
    <w:uiPriority w:val="99"/>
    <w:pPr>
      <w:spacing w:line="360" w:lineRule="auto"/>
      <w:jc w:val="both"/>
    </w:pPr>
    <w:rPr>
      <w:sz w:val="20"/>
    </w:rPr>
  </w:style>
  <w:style w:type="character" w:styleId="25" w:customStyle="1">
    <w:name w:val="Основной текст 2 Знак"/>
    <w:link w:val="24"/>
    <w:uiPriority w:val="99"/>
    <w:locked/>
    <w:rPr>
      <w:rFonts w:ascii="Times New Roman" w:hAnsi="Times New Roman" w:cs="Times New Roman"/>
      <w:sz w:val="24"/>
      <w:szCs w:val="24"/>
      <w:lang w:eastAsia="ru-RU"/>
    </w:rPr>
  </w:style>
  <w:style w:type="paragraph" w:styleId="34">
    <w:name w:val="Body Text 3"/>
    <w:basedOn w:val="a"/>
    <w:link w:val="35"/>
    <w:uiPriority w:val="99"/>
    <w:pPr>
      <w:spacing w:line="360" w:lineRule="auto"/>
    </w:pPr>
    <w:rPr>
      <w:sz w:val="20"/>
    </w:rPr>
  </w:style>
  <w:style w:type="character" w:styleId="35" w:customStyle="1">
    <w:name w:val="Основной текст 3 Знак"/>
    <w:link w:val="34"/>
    <w:uiPriority w:val="99"/>
    <w:locked/>
    <w:rPr>
      <w:rFonts w:ascii="Times New Roman" w:hAnsi="Times New Roman" w:cs="Times New Roman"/>
      <w:sz w:val="24"/>
      <w:szCs w:val="24"/>
      <w:lang w:eastAsia="ru-RU"/>
    </w:rPr>
  </w:style>
  <w:style w:type="character" w:styleId="sel" w:customStyle="1">
    <w:name w:val="sel"/>
    <w:uiPriority w:val="99"/>
    <w:rPr>
      <w:color w:val="ffffff"/>
      <w:shd w:val="clear" w:color="auto" w:fill="aba9ba"/>
    </w:rPr>
  </w:style>
  <w:style w:type="paragraph" w:styleId="ad">
    <w:name w:val="Normal (Web)"/>
    <w:basedOn w:val="a"/>
    <w:uiPriority w:val="99"/>
    <w:pPr>
      <w:spacing w:before="100" w:beforeAutospacing="1" w:after="100" w:afterAutospacing="1"/>
    </w:pPr>
    <w:rPr>
      <w:rFonts w:ascii="Verdana" w:hAnsi="Verdana" w:eastAsia="Arial Unicode MS" w:cs="Arial Unicode MS"/>
      <w:sz w:val="16"/>
      <w:szCs w:val="16"/>
    </w:rPr>
  </w:style>
  <w:style w:type="paragraph" w:styleId="nip" w:customStyle="1">
    <w:name w:val="nip"/>
    <w:basedOn w:val="a"/>
    <w:uiPriority w:val="99"/>
    <w:pPr>
      <w:spacing w:before="120" w:after="120"/>
      <w:ind w:left="90" w:right="90"/>
      <w:jc w:val="both"/>
    </w:pPr>
    <w:rPr>
      <w:rFonts w:ascii="MS Sans Serif" w:hAnsi="MS Sans Serif" w:eastAsia="Arial Unicode MS" w:cs="Arial Unicode MS"/>
      <w:color w:val="333399"/>
      <w:sz w:val="15"/>
      <w:szCs w:val="15"/>
    </w:rPr>
  </w:style>
  <w:style w:type="paragraph" w:styleId="nip1" w:customStyle="1">
    <w:name w:val="nip1"/>
    <w:basedOn w:val="a"/>
    <w:uiPriority w:val="99"/>
    <w:pPr>
      <w:spacing w:before="120" w:after="120"/>
      <w:ind w:left="90" w:right="90"/>
      <w:jc w:val="both"/>
    </w:pPr>
    <w:rPr>
      <w:rFonts w:ascii="MS Sans Serif" w:hAnsi="MS Sans Serif" w:eastAsia="Arial Unicode MS" w:cs="Arial Unicode MS"/>
      <w:color w:val="ffffff"/>
      <w:sz w:val="15"/>
      <w:szCs w:val="15"/>
    </w:rPr>
  </w:style>
  <w:style w:type="paragraph" w:styleId="11" w:customStyle="1">
    <w:name w:val="Название1"/>
    <w:basedOn w:val="a"/>
    <w:uiPriority w:val="99"/>
    <w:pPr>
      <w:spacing w:before="120" w:after="120"/>
      <w:ind w:left="90" w:right="90"/>
      <w:jc w:val="both"/>
    </w:pPr>
    <w:rPr>
      <w:rFonts w:ascii="Arial" w:hAnsi="Arial" w:eastAsia="Arial Unicode MS" w:cs="Arial"/>
      <w:b/>
      <w:bCs/>
      <w:color w:val="000099"/>
      <w:sz w:val="30"/>
      <w:szCs w:val="30"/>
    </w:rPr>
  </w:style>
  <w:style w:type="paragraph" w:styleId="menu" w:customStyle="1">
    <w:name w:val="menu"/>
    <w:basedOn w:val="a"/>
    <w:uiPriority w:val="99"/>
    <w:pPr>
      <w:spacing w:before="120" w:after="120"/>
      <w:ind w:left="90" w:right="90"/>
      <w:jc w:val="both"/>
    </w:pPr>
    <w:rPr>
      <w:rFonts w:ascii="MS Sans Serif" w:hAnsi="MS Sans Serif" w:eastAsia="Arial Unicode MS" w:cs="Arial Unicode MS"/>
      <w:color w:val="ffffff"/>
      <w:sz w:val="18"/>
      <w:szCs w:val="18"/>
    </w:rPr>
  </w:style>
  <w:style w:type="paragraph" w:styleId="razdel" w:customStyle="1">
    <w:name w:val="razdel"/>
    <w:basedOn w:val="a"/>
    <w:uiPriority w:val="99"/>
    <w:pPr>
      <w:shd w:val="clear" w:color="auto" w:fill="cfd9fd"/>
      <w:spacing w:before="120" w:after="120"/>
      <w:ind w:left="90" w:right="90"/>
      <w:jc w:val="both"/>
    </w:pPr>
    <w:rPr>
      <w:rFonts w:ascii="MS Sans Serif" w:hAnsi="MS Sans Serif" w:eastAsia="Arial Unicode MS" w:cs="Arial Unicode MS"/>
      <w:b/>
      <w:bCs/>
      <w:color w:val="000000"/>
      <w:sz w:val="18"/>
      <w:szCs w:val="18"/>
    </w:rPr>
  </w:style>
  <w:style w:type="paragraph" w:styleId="feature" w:customStyle="1">
    <w:name w:val="feature"/>
    <w:basedOn w:val="a"/>
    <w:uiPriority w:val="99"/>
    <w:pPr>
      <w:shd w:val="clear" w:color="auto" w:fill="9fb5fb"/>
      <w:spacing w:before="120" w:after="120"/>
      <w:ind w:left="90" w:right="90"/>
      <w:jc w:val="both"/>
    </w:pPr>
    <w:rPr>
      <w:rFonts w:ascii="MS Sans Serif" w:hAnsi="MS Sans Serif" w:eastAsia="Arial Unicode MS" w:cs="Arial Unicode MS"/>
      <w:color w:val="000000"/>
      <w:sz w:val="20"/>
      <w:szCs w:val="20"/>
    </w:rPr>
  </w:style>
  <w:style w:type="paragraph" w:styleId="news" w:customStyle="1">
    <w:name w:val="news"/>
    <w:basedOn w:val="a"/>
    <w:uiPriority w:val="99"/>
    <w:pPr>
      <w:spacing w:before="120" w:after="120"/>
      <w:ind w:left="90" w:right="90"/>
      <w:jc w:val="both"/>
    </w:pPr>
    <w:rPr>
      <w:rFonts w:ascii="MS Sans Serif" w:hAnsi="MS Sans Serif" w:eastAsia="Arial Unicode MS" w:cs="Arial Unicode MS"/>
      <w:b/>
      <w:bCs/>
      <w:color w:val="777777"/>
      <w:sz w:val="16"/>
      <w:szCs w:val="16"/>
    </w:rPr>
  </w:style>
  <w:style w:type="paragraph" w:styleId="name" w:customStyle="1">
    <w:name w:val="name"/>
    <w:basedOn w:val="a"/>
    <w:uiPriority w:val="99"/>
    <w:pPr>
      <w:spacing w:before="120" w:after="120"/>
      <w:ind w:left="90" w:right="90"/>
      <w:jc w:val="both"/>
    </w:pPr>
    <w:rPr>
      <w:rFonts w:ascii="Courier New" w:hAnsi="Courier New" w:eastAsia="Arial Unicode MS" w:cs="Courier New"/>
      <w:b/>
      <w:bCs/>
      <w:color w:val="ffffff"/>
      <w:sz w:val="36"/>
      <w:szCs w:val="36"/>
    </w:rPr>
  </w:style>
  <w:style w:type="paragraph" w:styleId="line" w:customStyle="1">
    <w:name w:val="line"/>
    <w:basedOn w:val="a"/>
    <w:uiPriority w:val="99"/>
    <w:pPr>
      <w:spacing w:before="120" w:after="120"/>
      <w:ind w:left="90" w:right="90"/>
      <w:jc w:val="both"/>
    </w:pPr>
    <w:rPr>
      <w:rFonts w:ascii="MS Sans Serif" w:hAnsi="MS Sans Serif" w:eastAsia="Arial Unicode MS" w:cs="Arial Unicode MS"/>
      <w:color w:val="000000"/>
      <w:sz w:val="16"/>
      <w:szCs w:val="16"/>
    </w:rPr>
  </w:style>
  <w:style w:type="paragraph" w:styleId="book" w:customStyle="1">
    <w:name w:val="book"/>
    <w:basedOn w:val="a"/>
    <w:uiPriority w:val="99"/>
    <w:pPr>
      <w:spacing w:before="120" w:after="120"/>
      <w:ind w:left="90" w:right="90"/>
      <w:jc w:val="both"/>
    </w:pPr>
    <w:rPr>
      <w:rFonts w:ascii="MS Sans Serif" w:hAnsi="MS Sans Serif" w:eastAsia="Arial Unicode MS" w:cs="Arial Unicode MS"/>
      <w:b/>
      <w:bCs/>
      <w:color w:val="ffbbbb"/>
      <w:sz w:val="16"/>
      <w:szCs w:val="16"/>
    </w:rPr>
  </w:style>
  <w:style w:type="paragraph" w:styleId="anons" w:customStyle="1">
    <w:name w:val="anons"/>
    <w:basedOn w:val="a"/>
    <w:uiPriority w:val="99"/>
    <w:pPr>
      <w:spacing w:before="120" w:after="120"/>
      <w:ind w:left="90" w:right="90"/>
      <w:jc w:val="both"/>
    </w:pPr>
    <w:rPr>
      <w:rFonts w:ascii="MS Sans Serif" w:hAnsi="MS Sans Serif" w:eastAsia="Arial Unicode MS" w:cs="Arial Unicode MS"/>
      <w:b/>
      <w:bCs/>
      <w:color w:val="ad0103"/>
      <w:sz w:val="20"/>
      <w:szCs w:val="20"/>
    </w:rPr>
  </w:style>
  <w:style w:type="paragraph" w:styleId="black" w:customStyle="1">
    <w:name w:val="black"/>
    <w:basedOn w:val="a"/>
    <w:uiPriority w:val="99"/>
    <w:pPr>
      <w:spacing w:before="120" w:after="120"/>
      <w:ind w:left="90" w:right="90"/>
      <w:jc w:val="both"/>
    </w:pPr>
    <w:rPr>
      <w:rFonts w:ascii="MS Sans Serif" w:hAnsi="MS Sans Serif" w:eastAsia="Arial Unicode MS" w:cs="Arial Unicode MS"/>
      <w:color w:val="000000"/>
      <w:sz w:val="20"/>
      <w:szCs w:val="20"/>
    </w:rPr>
  </w:style>
  <w:style w:type="paragraph" w:styleId="city" w:customStyle="1">
    <w:name w:val="city"/>
    <w:basedOn w:val="a"/>
    <w:uiPriority w:val="99"/>
    <w:pPr>
      <w:spacing w:before="120" w:after="120"/>
      <w:ind w:left="90" w:right="90"/>
      <w:jc w:val="both"/>
    </w:pPr>
    <w:rPr>
      <w:rFonts w:ascii="MS Sans Serif" w:hAnsi="MS Sans Serif" w:eastAsia="Arial Unicode MS" w:cs="Arial Unicode MS"/>
      <w:b/>
      <w:bCs/>
      <w:color w:val="000000"/>
      <w:sz w:val="20"/>
      <w:szCs w:val="20"/>
    </w:rPr>
  </w:style>
  <w:style w:type="paragraph" w:styleId="ae">
    <w:name w:val="footer"/>
    <w:basedOn w:val="a"/>
    <w:link w:val="af"/>
    <w:uiPriority w:val="99"/>
    <w:pPr>
      <w:tabs>
        <w:tab w:val="center" w:pos="4677"/>
        <w:tab w:val="right" w:pos="9355"/>
      </w:tabs>
    </w:pPr>
  </w:style>
  <w:style w:type="character" w:styleId="af" w:customStyle="1">
    <w:name w:val="Нижний колонтитул Знак"/>
    <w:link w:val="ae"/>
    <w:uiPriority w:val="99"/>
    <w:locked/>
    <w:rPr>
      <w:rFonts w:ascii="Times New Roman" w:hAnsi="Times New Roman" w:cs="Times New Roman"/>
      <w:sz w:val="24"/>
      <w:szCs w:val="24"/>
      <w:lang w:eastAsia="ru-RU"/>
    </w:rPr>
  </w:style>
  <w:style w:type="character" w:styleId="af0">
    <w:name w:val="page number"/>
    <w:uiPriority w:val="99"/>
    <w:rPr>
      <w:rFonts w:cs="Times New Roman"/>
    </w:rPr>
  </w:style>
  <w:style w:type="character" w:styleId="af1">
    <w:name w:val="Hyperlink"/>
    <w:uiPriority w:val="99"/>
    <w:rPr>
      <w:rFonts w:ascii="MS Sans Serif" w:hAnsi="MS Sans Serif" w:cs="Times New Roman"/>
      <w:color w:val="0000aa"/>
      <w:sz w:val="18"/>
      <w:u w:val="single"/>
    </w:rPr>
  </w:style>
  <w:style w:type="character" w:styleId="af2">
    <w:name w:val="FollowedHyperlink"/>
    <w:uiPriority w:val="99"/>
    <w:rPr>
      <w:rFonts w:cs="Times New Roman"/>
      <w:color w:val="800080"/>
      <w:u w:val="single"/>
    </w:rPr>
  </w:style>
  <w:style w:type="paragraph" w:styleId="Aacao" w:customStyle="1">
    <w:name w:val="Aacao"/>
    <w:basedOn w:val="a"/>
    <w:uiPriority w:val="99"/>
    <w:pPr>
      <w:ind w:firstLine="714"/>
      <w:jc w:val="both"/>
    </w:pPr>
    <w:rPr>
      <w:rFonts w:ascii="TimesET" w:hAnsi="TimesET"/>
      <w:szCs w:val="20"/>
    </w:rPr>
  </w:style>
  <w:style w:type="paragraph" w:styleId="ConsNormal" w:customStyle="1">
    <w:name w:val="ConsNormal"/>
    <w:uiPriority w:val="99"/>
    <w:pPr>
      <w:widowControl w:val="off"/>
      <w:ind w:firstLine="720"/>
    </w:pPr>
    <w:rPr>
      <w:rFonts w:ascii="Arial" w:hAnsi="Arial" w:eastAsia="Times New Roman" w:cs="Arial"/>
    </w:rPr>
  </w:style>
  <w:style w:type="paragraph" w:styleId="ConsNonformat" w:customStyle="1">
    <w:name w:val="ConsNonformat"/>
    <w:uiPriority w:val="99"/>
    <w:pPr>
      <w:widowControl w:val="off"/>
    </w:pPr>
    <w:rPr>
      <w:rFonts w:ascii="Courier New" w:hAnsi="Courier New" w:eastAsia="Times New Roman" w:cs="Courier New"/>
    </w:rPr>
  </w:style>
  <w:style w:type="paragraph" w:styleId="ConsTitle" w:customStyle="1">
    <w:name w:val="ConsTitle"/>
    <w:uiPriority w:val="99"/>
    <w:pPr>
      <w:widowControl w:val="off"/>
    </w:pPr>
    <w:rPr>
      <w:rFonts w:ascii="Arial" w:hAnsi="Arial" w:eastAsia="Times New Roman" w:cs="Arial"/>
      <w:b/>
      <w:bCs/>
      <w:sz w:val="16"/>
      <w:szCs w:val="16"/>
    </w:rPr>
  </w:style>
  <w:style w:type="paragraph" w:styleId="af3">
    <w:name w:val="Block Text"/>
    <w:basedOn w:val="a"/>
    <w:uiPriority w:val="99"/>
    <w:pPr>
      <w:spacing w:line="360" w:lineRule="auto"/>
      <w:ind w:left="-360" w:right="-186"/>
      <w:jc w:val="center"/>
    </w:pPr>
    <w:rPr>
      <w:b/>
      <w:bCs/>
      <w:sz w:val="28"/>
    </w:rPr>
  </w:style>
  <w:style w:type="paragraph" w:styleId="af4">
    <w:name w:val="Subtitle"/>
    <w:basedOn w:val="a"/>
    <w:link w:val="af5"/>
    <w:uiPriority w:val="99"/>
    <w:qFormat/>
    <w:pPr>
      <w:jc w:val="center"/>
    </w:pPr>
    <w:rPr>
      <w:b/>
      <w:sz w:val="28"/>
      <w:szCs w:val="20"/>
    </w:rPr>
  </w:style>
  <w:style w:type="character" w:styleId="af5" w:customStyle="1">
    <w:name w:val="Подзаголовок Знак"/>
    <w:link w:val="af4"/>
    <w:uiPriority w:val="99"/>
    <w:locked/>
    <w:rPr>
      <w:rFonts w:ascii="Times New Roman" w:hAnsi="Times New Roman" w:cs="Times New Roman"/>
      <w:b/>
      <w:sz w:val="20"/>
      <w:szCs w:val="20"/>
      <w:lang w:eastAsia="ru-RU"/>
    </w:rPr>
  </w:style>
  <w:style w:type="paragraph" w:styleId="BodyText21" w:customStyle="1">
    <w:name w:val="Body Text 21"/>
    <w:basedOn w:val="a"/>
    <w:uiPriority w:val="99"/>
    <w:pPr>
      <w:widowControl w:val="off"/>
      <w:spacing w:line="-260" w:lineRule="auto"/>
      <w:jc w:val="both"/>
    </w:pPr>
    <w:rPr>
      <w:sz w:val="18"/>
      <w:szCs w:val="20"/>
    </w:rPr>
  </w:style>
  <w:style w:type="paragraph" w:styleId="BodyTextIndent21" w:customStyle="1">
    <w:name w:val="Body Text Indent 21"/>
    <w:basedOn w:val="a"/>
    <w:uiPriority w:val="99"/>
    <w:pPr>
      <w:spacing w:line="360" w:lineRule="auto"/>
      <w:ind w:firstLine="709"/>
      <w:jc w:val="both"/>
    </w:pPr>
    <w:rPr>
      <w:rFonts w:ascii="NTTierce" w:hAnsi="NTTierce"/>
      <w:sz w:val="28"/>
      <w:szCs w:val="20"/>
    </w:rPr>
  </w:style>
  <w:style w:type="paragraph" w:styleId="af6">
    <w:name w:val="Balloon Text"/>
    <w:basedOn w:val="a"/>
    <w:link w:val="af7"/>
    <w:uiPriority w:val="99"/>
    <w:semiHidden/>
    <w:rPr>
      <w:rFonts w:ascii="Tahoma" w:hAnsi="Tahoma" w:cs="Tahoma"/>
      <w:sz w:val="16"/>
      <w:szCs w:val="16"/>
    </w:rPr>
  </w:style>
  <w:style w:type="character" w:styleId="af7" w:customStyle="1">
    <w:name w:val="Текст выноски Знак"/>
    <w:link w:val="af6"/>
    <w:uiPriority w:val="99"/>
    <w:semiHidden/>
    <w:locked/>
    <w:rPr>
      <w:rFonts w:ascii="Tahoma" w:hAnsi="Tahoma" w:cs="Tahoma"/>
      <w:sz w:val="16"/>
      <w:szCs w:val="16"/>
      <w:lang w:eastAsia="ru-RU"/>
    </w:rPr>
  </w:style>
  <w:style w:type="paragraph" w:styleId="af8">
    <w:name w:val="header"/>
    <w:basedOn w:val="a"/>
    <w:link w:val="af9"/>
    <w:pPr>
      <w:tabs>
        <w:tab w:val="center" w:pos="4677"/>
        <w:tab w:val="right" w:pos="9355"/>
      </w:tabs>
    </w:pPr>
  </w:style>
  <w:style w:type="character" w:styleId="af9" w:customStyle="1">
    <w:name w:val="Верхний колонтитул Знак"/>
    <w:link w:val="af8"/>
    <w:locked/>
    <w:rPr>
      <w:rFonts w:ascii="Times New Roman" w:hAnsi="Times New Roman" w:cs="Times New Roman"/>
      <w:sz w:val="24"/>
      <w:szCs w:val="24"/>
      <w:lang w:eastAsia="ru-RU"/>
    </w:rPr>
  </w:style>
  <w:style w:type="paragraph" w:styleId="afa">
    <w:name w:val="Plain Text"/>
    <w:basedOn w:val="a"/>
    <w:link w:val="afb"/>
    <w:uiPriority w:val="99"/>
    <w:rPr>
      <w:rFonts w:ascii="Courier New" w:hAnsi="Courier New"/>
      <w:sz w:val="20"/>
      <w:szCs w:val="20"/>
    </w:rPr>
  </w:style>
  <w:style w:type="character" w:styleId="afb" w:customStyle="1">
    <w:name w:val="Текст Знак"/>
    <w:link w:val="afa"/>
    <w:uiPriority w:val="99"/>
    <w:locked/>
    <w:rPr>
      <w:rFonts w:ascii="Courier New" w:hAnsi="Courier New" w:cs="Times New Roman"/>
      <w:sz w:val="20"/>
      <w:szCs w:val="20"/>
      <w:lang w:eastAsia="ru-RU"/>
    </w:rPr>
  </w:style>
  <w:style w:type="paragraph" w:styleId="12">
    <w:name w:val="toc 1"/>
    <w:basedOn w:val="a"/>
    <w:next w:val="a"/>
    <w:autoRedefine/>
    <w:uiPriority w:val="39"/>
    <w:qFormat/>
    <w:pPr>
      <w:tabs>
        <w:tab w:val="left" w:pos="426"/>
        <w:tab w:val="left" w:pos="567"/>
        <w:tab w:val="right" w:pos="9639" w:leader="dot"/>
      </w:tabs>
      <w:jc w:val="both"/>
    </w:pPr>
    <w:rPr>
      <w:rFonts w:ascii="Arial" w:hAnsi="Arial" w:cs="Arial"/>
    </w:rPr>
  </w:style>
  <w:style w:type="paragraph" w:styleId="26">
    <w:name w:val="toc 2"/>
    <w:basedOn w:val="a"/>
    <w:next w:val="a"/>
    <w:autoRedefine/>
    <w:uiPriority w:val="39"/>
    <w:semiHidden/>
    <w:qFormat/>
    <w:pPr>
      <w:tabs>
        <w:tab w:val="left" w:pos="960"/>
        <w:tab w:val="right" w:pos="9514" w:leader="dot"/>
      </w:tabs>
      <w:ind w:left="960"/>
    </w:pPr>
  </w:style>
  <w:style w:type="paragraph" w:styleId="13" w:customStyle="1">
    <w:name w:val="Стиль1"/>
    <w:basedOn w:val="12"/>
    <w:uiPriority w:val="99"/>
  </w:style>
  <w:style w:type="character" w:styleId="afc">
    <w:name w:val="annotation reference"/>
    <w:uiPriority w:val="99"/>
    <w:semiHidden/>
    <w:rPr>
      <w:rFonts w:cs="Times New Roman"/>
      <w:sz w:val="16"/>
    </w:rPr>
  </w:style>
  <w:style w:type="paragraph" w:styleId="afd">
    <w:name w:val="annotation text"/>
    <w:basedOn w:val="a"/>
    <w:link w:val="afe"/>
    <w:uiPriority w:val="99"/>
    <w:semiHidden/>
    <w:rPr>
      <w:sz w:val="20"/>
      <w:szCs w:val="20"/>
    </w:rPr>
  </w:style>
  <w:style w:type="character" w:styleId="afe" w:customStyle="1">
    <w:name w:val="Текст примечания Знак"/>
    <w:link w:val="afd"/>
    <w:uiPriority w:val="99"/>
    <w:semiHidden/>
    <w:locked/>
    <w:rPr>
      <w:rFonts w:ascii="Times New Roman" w:hAnsi="Times New Roman" w:cs="Times New Roman"/>
      <w:sz w:val="20"/>
      <w:szCs w:val="20"/>
      <w:lang w:eastAsia="ru-RU"/>
    </w:rPr>
  </w:style>
  <w:style w:type="paragraph" w:styleId="aff">
    <w:name w:val="annotation subject"/>
    <w:basedOn w:val="afd"/>
    <w:next w:val="afd"/>
    <w:link w:val="aff0"/>
    <w:uiPriority w:val="99"/>
    <w:semiHidden/>
    <w:rPr>
      <w:b/>
      <w:bCs/>
    </w:rPr>
  </w:style>
  <w:style w:type="character" w:styleId="aff0" w:customStyle="1">
    <w:name w:val="Тема примечания Знак"/>
    <w:link w:val="aff"/>
    <w:uiPriority w:val="99"/>
    <w:semiHidden/>
    <w:locked/>
    <w:rPr>
      <w:rFonts w:ascii="Times New Roman" w:hAnsi="Times New Roman" w:cs="Times New Roman"/>
      <w:b/>
      <w:bCs/>
      <w:sz w:val="20"/>
      <w:szCs w:val="20"/>
      <w:lang w:eastAsia="ru-RU"/>
    </w:rPr>
  </w:style>
  <w:style w:type="paragraph" w:styleId="27">
    <w:name w:val="List Continue 2"/>
    <w:basedOn w:val="a"/>
    <w:uiPriority w:val="99"/>
    <w:pPr>
      <w:spacing w:after="120"/>
      <w:ind w:left="566"/>
    </w:pPr>
  </w:style>
  <w:style w:type="paragraph" w:styleId="ConsPlusNormal" w:customStyle="1">
    <w:name w:val="ConsPlusNormal"/>
    <w:pPr>
      <w:widowControl w:val="off"/>
      <w:ind w:firstLine="720"/>
    </w:pPr>
    <w:rPr>
      <w:rFonts w:ascii="Arial" w:hAnsi="Arial" w:eastAsia="Times New Roman" w:cs="Arial"/>
    </w:rPr>
  </w:style>
  <w:style w:type="paragraph" w:styleId="61">
    <w:name w:val="toc 6"/>
    <w:basedOn w:val="a"/>
    <w:next w:val="a"/>
    <w:autoRedefine/>
    <w:uiPriority w:val="99"/>
    <w:semiHidden/>
    <w:pPr>
      <w:ind w:left="1200"/>
    </w:pPr>
  </w:style>
  <w:style w:type="paragraph" w:styleId="14">
    <w:name w:val="index 1"/>
    <w:basedOn w:val="a"/>
    <w:next w:val="a"/>
    <w:autoRedefine/>
    <w:uiPriority w:val="99"/>
    <w:semiHidden/>
    <w:pPr>
      <w:ind w:left="240" w:hanging="240"/>
    </w:pPr>
    <w:rPr>
      <w:sz w:val="28"/>
    </w:rPr>
  </w:style>
  <w:style w:type="paragraph" w:styleId="28">
    <w:name w:val="index 2"/>
    <w:basedOn w:val="a"/>
    <w:next w:val="a"/>
    <w:autoRedefine/>
    <w:uiPriority w:val="99"/>
    <w:semiHidden/>
    <w:pPr>
      <w:ind w:left="480" w:hanging="240"/>
    </w:pPr>
    <w:rPr>
      <w:sz w:val="28"/>
    </w:rPr>
  </w:style>
  <w:style w:type="paragraph" w:styleId="36">
    <w:name w:val="index 3"/>
    <w:basedOn w:val="a"/>
    <w:next w:val="a"/>
    <w:autoRedefine/>
    <w:uiPriority w:val="99"/>
    <w:semiHidden/>
    <w:pPr>
      <w:ind w:left="720" w:hanging="240"/>
    </w:pPr>
    <w:rPr>
      <w:sz w:val="28"/>
    </w:rPr>
  </w:style>
  <w:style w:type="table" w:styleId="aff1">
    <w:name w:val="Table Grid"/>
    <w:basedOn w:val="a1"/>
    <w:uiPriority w:val="9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ff2">
    <w:name w:val="Title"/>
    <w:basedOn w:val="a"/>
    <w:link w:val="aff3"/>
    <w:uiPriority w:val="99"/>
    <w:qFormat/>
    <w:pPr>
      <w:jc w:val="center"/>
    </w:pPr>
    <w:rPr>
      <w:b/>
      <w:bCs/>
      <w:sz w:val="28"/>
    </w:rPr>
  </w:style>
  <w:style w:type="character" w:styleId="aff3" w:customStyle="1">
    <w:name w:val="Заголовок Знак"/>
    <w:link w:val="aff2"/>
    <w:uiPriority w:val="99"/>
    <w:locked/>
    <w:rPr>
      <w:rFonts w:ascii="Times New Roman" w:hAnsi="Times New Roman" w:cs="Times New Roman"/>
      <w:b/>
      <w:bCs/>
      <w:sz w:val="24"/>
      <w:szCs w:val="24"/>
      <w:lang w:eastAsia="ru-RU"/>
    </w:rPr>
  </w:style>
  <w:style w:type="paragraph" w:styleId="20" w:customStyle="1">
    <w:name w:val="Заготовок 2"/>
    <w:basedOn w:val="2"/>
    <w:uiPriority w:val="99"/>
    <w:pPr>
      <w:numPr>
        <w:numId w:val="2"/>
      </w:numPr>
      <w:tabs>
        <w:tab w:val="clear" w:pos="360"/>
        <w:tab w:val="left" w:pos="540"/>
        <w:tab w:val="num" w:pos="1800"/>
      </w:tabs>
      <w:spacing w:before="240" w:after="60"/>
      <w:ind w:left="0" w:firstLine="0"/>
    </w:pPr>
    <w:rPr>
      <w:rFonts w:ascii="Arial" w:hAnsi="Arial" w:cs="Arial"/>
      <w:b/>
      <w:bCs/>
      <w:i/>
      <w:iCs/>
      <w:sz w:val="24"/>
    </w:rPr>
  </w:style>
  <w:style w:type="paragraph" w:styleId="NRUS" w:customStyle="1">
    <w:name w:val="N_RUS"/>
    <w:basedOn w:val="a"/>
    <w:uiPriority w:val="99"/>
    <w:pPr>
      <w:jc w:val="both"/>
    </w:pPr>
    <w:rPr>
      <w:rFonts w:ascii="Antiqua" w:hAnsi="Antiqua"/>
    </w:rPr>
  </w:style>
  <w:style w:type="paragraph" w:styleId="37">
    <w:name w:val="toc 3"/>
    <w:basedOn w:val="a"/>
    <w:next w:val="a"/>
    <w:autoRedefine/>
    <w:uiPriority w:val="39"/>
    <w:semiHidden/>
    <w:qFormat/>
    <w:pPr>
      <w:ind w:left="240"/>
    </w:pPr>
    <w:rPr>
      <w:sz w:val="20"/>
      <w:szCs w:val="20"/>
    </w:rPr>
  </w:style>
  <w:style w:type="paragraph" w:styleId="42">
    <w:name w:val="toc 4"/>
    <w:basedOn w:val="a"/>
    <w:next w:val="a"/>
    <w:autoRedefine/>
    <w:uiPriority w:val="99"/>
    <w:semiHidden/>
    <w:pPr>
      <w:ind w:left="480"/>
    </w:pPr>
    <w:rPr>
      <w:sz w:val="20"/>
      <w:szCs w:val="20"/>
    </w:rPr>
  </w:style>
  <w:style w:type="paragraph" w:styleId="116" w:customStyle="1">
    <w:name w:val="Стиль Заголовок 1 + кернинг от 16 пт"/>
    <w:basedOn w:val="1"/>
    <w:next w:val="a"/>
    <w:autoRedefine/>
    <w:uiPriority w:val="99"/>
    <w:pPr>
      <w:keepNext w:val="0"/>
      <w:numPr>
        <w:numId w:val="3"/>
      </w:numPr>
      <w:tabs>
        <w:tab w:val="clear" w:pos="360"/>
        <w:tab w:val="num" w:pos="540"/>
      </w:tabs>
      <w:spacing w:before="120" w:after="120"/>
      <w:ind w:left="540"/>
    </w:pPr>
    <w:rPr>
      <w:rFonts w:cs="Arial"/>
    </w:rPr>
  </w:style>
  <w:style w:type="paragraph" w:styleId="Arial" w:customStyle="1">
    <w:name w:val="Стиль Рег_текст + Arial"/>
    <w:basedOn w:val="a"/>
    <w:uiPriority w:val="99"/>
    <w:pPr>
      <w:spacing w:before="120"/>
      <w:jc w:val="both"/>
    </w:pPr>
    <w:rPr>
      <w:rFonts w:ascii="Arial" w:hAnsi="Arial"/>
    </w:rPr>
  </w:style>
  <w:style w:type="paragraph" w:styleId="51">
    <w:name w:val="toc 5"/>
    <w:basedOn w:val="a"/>
    <w:next w:val="a"/>
    <w:autoRedefine/>
    <w:uiPriority w:val="99"/>
    <w:semiHidden/>
    <w:pPr>
      <w:ind w:left="720"/>
    </w:pPr>
    <w:rPr>
      <w:sz w:val="20"/>
      <w:szCs w:val="20"/>
    </w:rPr>
  </w:style>
  <w:style w:type="paragraph" w:styleId="71">
    <w:name w:val="toc 7"/>
    <w:basedOn w:val="a"/>
    <w:next w:val="a"/>
    <w:autoRedefine/>
    <w:uiPriority w:val="99"/>
    <w:semiHidden/>
    <w:pPr>
      <w:ind w:left="1200"/>
    </w:pPr>
    <w:rPr>
      <w:sz w:val="20"/>
      <w:szCs w:val="20"/>
    </w:rPr>
  </w:style>
  <w:style w:type="paragraph" w:styleId="81">
    <w:name w:val="toc 8"/>
    <w:basedOn w:val="a"/>
    <w:next w:val="a"/>
    <w:autoRedefine/>
    <w:uiPriority w:val="99"/>
    <w:semiHidden/>
    <w:pPr>
      <w:ind w:left="1440"/>
    </w:pPr>
    <w:rPr>
      <w:sz w:val="20"/>
      <w:szCs w:val="20"/>
    </w:rPr>
  </w:style>
  <w:style w:type="paragraph" w:styleId="91">
    <w:name w:val="toc 9"/>
    <w:basedOn w:val="a"/>
    <w:next w:val="a"/>
    <w:autoRedefine/>
    <w:uiPriority w:val="99"/>
    <w:semiHidden/>
    <w:pPr>
      <w:ind w:left="1680"/>
    </w:pPr>
    <w:rPr>
      <w:sz w:val="20"/>
      <w:szCs w:val="20"/>
    </w:rPr>
  </w:style>
  <w:style w:type="paragraph" w:styleId="Arial12" w:customStyle="1">
    <w:name w:val="Стиль Текст сноски + Arial 12 пт Черный По ширине Первая строка..."/>
    <w:basedOn w:val="a7"/>
    <w:autoRedefine/>
    <w:uiPriority w:val="99"/>
    <w:pPr>
      <w:spacing w:after="40"/>
    </w:pPr>
    <w:rPr>
      <w:rFonts w:ascii="Arial" w:hAnsi="Arial" w:cs="Arial"/>
      <w:color w:val="000000"/>
    </w:rPr>
  </w:style>
  <w:style w:type="paragraph" w:styleId="29" w:customStyle="1">
    <w:name w:val="Стиль2"/>
    <w:basedOn w:val="2"/>
    <w:uiPriority w:val="99"/>
    <w:pPr>
      <w:numPr>
        <w:numId w:val="0"/>
        <w:ilvl w:val="0"/>
      </w:numPr>
      <w:tabs>
        <w:tab w:val="num" w:pos="576"/>
      </w:tabs>
      <w:spacing w:before="240" w:after="60"/>
      <w:ind w:left="576" w:hanging="576"/>
    </w:pPr>
    <w:rPr>
      <w:rFonts w:ascii="Arial" w:hAnsi="Arial" w:cs="Arial"/>
      <w:szCs w:val="28"/>
    </w:rPr>
  </w:style>
  <w:style w:type="paragraph" w:styleId="aff4">
    <w:name w:val="List Paragraph"/>
    <w:basedOn w:val="a"/>
    <w:uiPriority w:val="34"/>
    <w:qFormat/>
    <w:pPr>
      <w:ind w:left="708"/>
    </w:pPr>
  </w:style>
  <w:style w:type="paragraph" w:styleId="aff5">
    <w:name w:val="Date"/>
    <w:basedOn w:val="a"/>
    <w:next w:val="a"/>
    <w:link w:val="aff6"/>
    <w:uiPriority w:val="99"/>
  </w:style>
  <w:style w:type="character" w:styleId="aff6" w:customStyle="1">
    <w:name w:val="Дата Знак"/>
    <w:link w:val="aff5"/>
    <w:uiPriority w:val="99"/>
    <w:locked/>
    <w:rPr>
      <w:rFonts w:ascii="Times New Roman" w:hAnsi="Times New Roman" w:cs="Times New Roman"/>
      <w:sz w:val="24"/>
      <w:szCs w:val="24"/>
      <w:lang w:eastAsia="ru-RU"/>
    </w:rPr>
  </w:style>
  <w:style w:type="paragraph" w:styleId="aff7">
    <w:name w:val="TOC Heading"/>
    <w:basedOn w:val="1"/>
    <w:next w:val="a"/>
    <w:uiPriority w:val="39"/>
    <w:qFormat/>
    <w:pPr>
      <w:keepLines/>
      <w:numPr>
        <w:numId w:val="0"/>
      </w:numPr>
      <w:spacing w:before="480" w:line="276" w:lineRule="auto"/>
      <w:outlineLvl w:val="9"/>
    </w:pPr>
    <w:rPr>
      <w:rFonts w:ascii="Cambria" w:hAnsi="Cambria"/>
      <w:color w:val="365f91"/>
      <w:sz w:val="28"/>
      <w:szCs w:val="28"/>
    </w:rPr>
  </w:style>
  <w:style w:type="paragraph" w:styleId="Default" w:customStyle="1">
    <w:name w:val="Default"/>
    <w:uiPriority w:val="99"/>
    <w:rPr>
      <w:rFonts w:ascii="Times New Roman" w:hAnsi="Times New Roman" w:eastAsia="Times New Roman"/>
      <w:color w:val="000000"/>
      <w:sz w:val="24"/>
      <w:szCs w:val="24"/>
    </w:rPr>
  </w:style>
  <w:style w:type="numbering" w:styleId="3" w:customStyle="1">
    <w:name w:val="Стиль3"/>
    <w:pPr>
      <w:numPr>
        <w:numId w:val="14"/>
      </w:numPr>
    </w:pPr>
  </w:style>
  <w:style w:type="numbering" w:styleId="111111">
    <w:name w:val="Outline List 2"/>
    <w:basedOn w:val="a2"/>
    <w:locked/>
    <w:pPr>
      <w:numPr>
        <w:numId w:val="4"/>
      </w:numPr>
    </w:pPr>
  </w:style>
  <w:style w:type="numbering" w:styleId="40" w:customStyle="1">
    <w:name w:val="Стиль4"/>
    <w:pPr>
      <w:numPr>
        <w:numId w:val="15"/>
      </w:numPr>
    </w:pPr>
  </w:style>
  <w:style w:type="character" w:styleId="aff8" w:customStyle="1">
    <w:name w:val="Основной текст_"/>
    <w:link w:val="2a"/>
    <w:rPr>
      <w:rFonts w:ascii="Times New Roman" w:hAnsi="Times New Roman" w:eastAsia="Times New Roman"/>
      <w:shd w:val="clear" w:color="auto" w:fill="ffffff"/>
    </w:rPr>
  </w:style>
  <w:style w:type="paragraph" w:styleId="2a" w:customStyle="1">
    <w:name w:val="Основной текст2"/>
    <w:basedOn w:val="a"/>
    <w:link w:val="aff8"/>
    <w:pPr>
      <w:widowControl w:val="off"/>
      <w:shd w:val="clear" w:color="auto" w:fill="ffffff"/>
      <w:spacing w:before="300" w:after="300" w:line="292" w:lineRule="exact"/>
      <w:jc w:val="both"/>
    </w:pPr>
    <w:rPr>
      <w:sz w:val="20"/>
      <w:szCs w:val="20"/>
    </w:rPr>
  </w:style>
  <w:style w:type="paragraph" w:styleId="bodytext" w:customStyle="1">
    <w:name w:val="bodytext"/>
    <w:basedOn w:val="a"/>
    <w:pPr>
      <w:spacing w:before="100" w:beforeAutospacing="1" w:after="240" w:line="360" w:lineRule="atLeast"/>
    </w:pPr>
  </w:style>
  <w:style w:type="paragraph" w:styleId="m" w:customStyle="1">
    <w:name w:val="m_ЗагПриложение"/>
    <w:basedOn w:val="a"/>
    <w:next w:val="a"/>
    <w:pPr>
      <w:jc w:val="center"/>
    </w:pPr>
    <w:rPr>
      <w:b/>
      <w:bCs/>
      <w:caps/>
    </w:rPr>
  </w:style>
  <w:style w:type="paragraph" w:styleId="ConsPlusTitle" w:customStyle="1">
    <w:name w:val="ConsPlusTitle"/>
    <w:uiPriority w:val="99"/>
    <w:pPr>
      <w:widowControl w:val="off"/>
    </w:pPr>
    <w:rPr>
      <w:rFonts w:ascii="Arial" w:hAnsi="Arial" w:eastAsia="Times New Roman" w:cs="Arial"/>
      <w:b/>
      <w:bCs/>
    </w:rPr>
  </w:style>
  <w:style w:type="character" w:styleId="defaultlabelstyle3" w:customStyle="1">
    <w:name w:val="defaultlabelstyle3"/>
    <w:basedOn w:val="a0"/>
    <w:rPr>
      <w:rFonts w:hint="default" w:ascii="Verdana" w:hAnsi="Verdana"/>
      <w:b w:val="0"/>
      <w:bCs w:val="0"/>
      <w:color w:val="333333"/>
    </w:rPr>
  </w:style>
  <w:style w:type="paragraph" w:styleId="aff9">
    <w:name w:val="No Spacing"/>
    <w:uiPriority w:val="1"/>
    <w:qFormat/>
    <w:rPr>
      <w:rFonts w:eastAsia="Times New Roman"/>
      <w:color w:val="000000"/>
      <w:sz w:val="22"/>
    </w:rPr>
  </w:style>
  <w:style w:type="paragraph" w:styleId="m0" w:customStyle="1">
    <w:name w:val="m_ПромШапка"/>
    <w:basedOn w:val="a"/>
    <w:pPr>
      <w:keepNext/>
      <w:jc w:val="center"/>
    </w:pPr>
    <w:rPr>
      <w:b/>
      <w:bCs/>
      <w:sz w:val="20"/>
    </w:rPr>
  </w:style>
  <w:style w:type="character" w:styleId="mChar" w:customStyle="1">
    <w:name w:val="m_ПростойТекст Char"/>
    <w:link w:val="m4"/>
    <w:locked/>
    <w:rPr>
      <w:rFonts w:ascii="Times New Roman" w:hAnsi="Times New Roman" w:eastAsia="Times New Roman"/>
      <w:sz w:val="24"/>
      <w:szCs w:val="24"/>
    </w:rPr>
  </w:style>
  <w:style w:type="paragraph" w:styleId="m4" w:customStyle="1">
    <w:name w:val="m_ПростойТекст"/>
    <w:basedOn w:val="a"/>
    <w:link w:val="mChar"/>
    <w:pPr>
      <w:jc w:val="both"/>
    </w:pPr>
  </w:style>
  <w:style w:type="paragraph" w:styleId="m5" w:customStyle="1">
    <w:name w:val="m_ТекстТаблицы"/>
    <w:basedOn w:val="m4"/>
    <w:pPr>
      <w:jc w:val="left"/>
    </w:pPr>
    <w:rPr>
      <w:sz w:val="20"/>
    </w:rPr>
  </w:style>
  <w:style w:type="paragraph" w:styleId="m1" w:customStyle="1">
    <w:name w:val="m_1_Пункт"/>
    <w:basedOn w:val="m4"/>
    <w:next w:val="m4"/>
    <w:pPr>
      <w:keepNext/>
      <w:numPr>
        <w:numId w:val="35"/>
      </w:numPr>
    </w:pPr>
    <w:rPr>
      <w:b/>
      <w:caps/>
    </w:rPr>
  </w:style>
  <w:style w:type="paragraph" w:styleId="m2" w:customStyle="1">
    <w:name w:val="m_2_Пункт"/>
    <w:basedOn w:val="m4"/>
    <w:next w:val="m4"/>
    <w:pPr>
      <w:keepNext/>
      <w:numPr>
        <w:numId w:val="35"/>
        <w:ilvl w:val="1"/>
      </w:numPr>
      <w:tabs>
        <w:tab w:val="left" w:pos="510"/>
      </w:tabs>
    </w:pPr>
    <w:rPr>
      <w:b/>
    </w:rPr>
  </w:style>
  <w:style w:type="paragraph" w:styleId="m3" w:customStyle="1">
    <w:name w:val="m_3_Пункт"/>
    <w:basedOn w:val="m4"/>
    <w:next w:val="m4"/>
    <w:pPr>
      <w:numPr>
        <w:numId w:val="35"/>
        <w:ilvl w:val="2"/>
      </w:numPr>
      <w:tabs>
        <w:tab w:val="num" w:pos="1440"/>
      </w:tabs>
    </w:pPr>
    <w:rPr>
      <w:b/>
      <w:lang w:val="en-US"/>
    </w:rPr>
  </w:style>
  <w:style w:type="paragraph" w:styleId="m6" w:customStyle="1">
    <w:name w:val="m_ШапкаТаблицы"/>
    <w:basedOn w:val="m4"/>
    <w:pPr>
      <w:keepNext/>
      <w:shd w:val="clear" w:color="auto" w:fill="d9d9d9"/>
      <w:jc w:val="center"/>
    </w:pPr>
    <w:rPr>
      <w:b/>
      <w:sz w:val="20"/>
    </w:rPr>
  </w:style>
  <w:style w:type="character" w:styleId="w" w:customStyle="1">
    <w:name w:val="w"/>
    <w:basedOn w:val="a0"/>
  </w:style>
  <w:style w:type="paragraph" w:styleId="affa">
    <w:name w:val="endnote text"/>
    <w:basedOn w:val="a"/>
    <w:link w:val="affb"/>
    <w:uiPriority w:val="99"/>
    <w:semiHidden/>
    <w:unhideWhenUsed/>
    <w:rPr>
      <w:sz w:val="20"/>
      <w:szCs w:val="20"/>
    </w:rPr>
  </w:style>
  <w:style w:type="character" w:styleId="affb" w:customStyle="1">
    <w:name w:val="Текст концевой сноски Знак"/>
    <w:basedOn w:val="a0"/>
    <w:link w:val="affa"/>
    <w:uiPriority w:val="99"/>
    <w:semiHidden/>
    <w:rPr>
      <w:rFonts w:ascii="Times New Roman" w:hAnsi="Times New Roman" w:eastAsia="Times New Roman"/>
    </w:rPr>
  </w:style>
  <w:style w:type="character" w:styleId="affc">
    <w:name w:val="endnote reference"/>
    <w:basedOn w:val="a0"/>
    <w:uiPriority w:val="99"/>
    <w:semiHidden/>
    <w:unhideWhenUsed/>
    <w:rPr>
      <w:vertAlign w:val="superscript"/>
    </w:rPr>
  </w:style>
  <w:style w:type="paragraph" w:styleId="15" w:customStyle="1">
    <w:name w:val="Заголовок1"/>
    <w:basedOn w:val="a"/>
    <w:next w:val="ab"/>
    <w:pPr>
      <w:widowControl w:val="off"/>
      <w:spacing w:after="200" w:line="276" w:lineRule="auto"/>
      <w:jc w:val="center"/>
    </w:pPr>
    <w:rPr>
      <w:b/>
      <w:bCs/>
      <w:lang w:eastAsia="zh-CN"/>
    </w:rPr>
  </w:style>
  <w:style w:type="paragraph" w:styleId="affd">
    <w:name w:val="caption"/>
    <w:basedOn w:val="a"/>
    <w:locked/>
    <w:pPr>
      <w:spacing w:after="200" w:line="276" w:lineRule="auto"/>
      <w:jc w:val="center"/>
    </w:pPr>
    <w:rPr>
      <w:b/>
      <w:szCs w:val="20"/>
      <w:lang w:eastAsia="zh-CN"/>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footer" Target="footer5.xml" /><Relationship Id="rId20" Type="http://schemas.openxmlformats.org/officeDocument/2006/relationships/customXml" Target="../customXml/item1.xml" /><Relationship Id="rId21" Type="http://schemas.openxmlformats.org/officeDocument/2006/relationships/hyperlink" Target="http://so-ups.ru/index.php?id=glossary&amp;no_cache=1&amp;print=1" TargetMode="External"/><Relationship Id="rId22" Type="http://schemas.openxmlformats.org/officeDocument/2006/relationships/hyperlink" Target="consultantplus://offline/ref=B7E8C549FC6E53304CA268EE14A1AEF968DE1CDCF779628D72500F5A0D737A0ADC28BB7FA028BE24u173G" TargetMode="External"/><Relationship Id="rId23" Type="http://schemas.openxmlformats.org/officeDocument/2006/relationships/image" Target="media/image1.wmf"/><Relationship Id="rId24" Type="http://schemas.openxmlformats.org/officeDocument/2006/relationships/oleObject" Target="embeddings/oleObject1.bin"/><Relationship Id="rId25" Type="http://schemas.openxmlformats.org/officeDocument/2006/relationships/image" Target="media/image2.wmf"/><Relationship Id="rId26" Type="http://schemas.openxmlformats.org/officeDocument/2006/relationships/oleObject" Target="embeddings/oleObject2.bin"/><Relationship Id="rId27" Type="http://schemas.openxmlformats.org/officeDocument/2006/relationships/image" Target="media/image3.wmf"/><Relationship Id="rId28" Type="http://schemas.openxmlformats.org/officeDocument/2006/relationships/oleObject" Target="embeddings/oleObject3.bin"/><Relationship Id="rId29" Type="http://schemas.openxmlformats.org/officeDocument/2006/relationships/image" Target="media/image4.wmf"/><Relationship Id="rId30" Type="http://schemas.openxmlformats.org/officeDocument/2006/relationships/oleObject" Target="embeddings/oleObject4.bin"/><Relationship Id="rId31" Type="http://schemas.openxmlformats.org/officeDocument/2006/relationships/image" Target="media/image5.wmf"/><Relationship Id="rId32" Type="http://schemas.openxmlformats.org/officeDocument/2006/relationships/oleObject" Target="embeddings/oleObject5.bin"/><Relationship Id="rId33" Type="http://schemas.openxmlformats.org/officeDocument/2006/relationships/image" Target="media/image6.wmf"/><Relationship Id="rId34" Type="http://schemas.openxmlformats.org/officeDocument/2006/relationships/oleObject" Target="embeddings/oleObject6.bin"/><Relationship Id="rId35" Type="http://schemas.openxmlformats.org/officeDocument/2006/relationships/image" Target="media/image7.wmf"/><Relationship Id="rId36" Type="http://schemas.openxmlformats.org/officeDocument/2006/relationships/oleObject" Target="embeddings/oleObject7.bin"/><Relationship Id="rId37" Type="http://schemas.openxmlformats.org/officeDocument/2006/relationships/image" Target="media/image8.wmf"/><Relationship Id="rId38" Type="http://schemas.openxmlformats.org/officeDocument/2006/relationships/oleObject" Target="embeddings/oleObject8.bin"/><Relationship Id="rId39" Type="http://schemas.openxmlformats.org/officeDocument/2006/relationships/image" Target="media/image9.wmf"/><Relationship Id="rId40" Type="http://schemas.openxmlformats.org/officeDocument/2006/relationships/oleObject" Target="embeddings/oleObject9.bin"/><Relationship Id="rId41" Type="http://schemas.openxmlformats.org/officeDocument/2006/relationships/image" Target="media/image10.wmf"/><Relationship Id="rId42" Type="http://schemas.openxmlformats.org/officeDocument/2006/relationships/oleObject" Target="embeddings/oleObject10.bin"/><Relationship Id="rId43" Type="http://schemas.openxmlformats.org/officeDocument/2006/relationships/image" Target="media/image11.wmf"/><Relationship Id="rId44" Type="http://schemas.openxmlformats.org/officeDocument/2006/relationships/oleObject" Target="embeddings/oleObject11.bin"/><Relationship Id="rId45" Type="http://schemas.openxmlformats.org/officeDocument/2006/relationships/image" Target="media/image12.wmf"/><Relationship Id="rId46" Type="http://schemas.openxmlformats.org/officeDocument/2006/relationships/oleObject" Target="embeddings/oleObject12.bin"/><Relationship Id="rId47" Type="http://schemas.openxmlformats.org/officeDocument/2006/relationships/image" Target="media/image13.wmf"/><Relationship Id="rId48" Type="http://schemas.openxmlformats.org/officeDocument/2006/relationships/oleObject" Target="embeddings/oleObject13.bin"/><Relationship Id="rId49" Type="http://schemas.openxmlformats.org/officeDocument/2006/relationships/image" Target="media/image14.wmf"/><Relationship Id="rId50" Type="http://schemas.openxmlformats.org/officeDocument/2006/relationships/oleObject" Target="embeddings/oleObject14.bin"/><Relationship Id="rId51" Type="http://schemas.openxmlformats.org/officeDocument/2006/relationships/image" Target="media/image15.wmf"/><Relationship Id="rId52" Type="http://schemas.openxmlformats.org/officeDocument/2006/relationships/oleObject" Target="embeddings/oleObject15.bin"/><Relationship Id="rId53" Type="http://schemas.openxmlformats.org/officeDocument/2006/relationships/image" Target="media/image16.wmf"/><Relationship Id="rId54" Type="http://schemas.openxmlformats.org/officeDocument/2006/relationships/oleObject" Target="embeddings/oleObject16.bin"/><Relationship Id="rId55" Type="http://schemas.openxmlformats.org/officeDocument/2006/relationships/image" Target="media/image17.wmf"/><Relationship Id="rId56" Type="http://schemas.openxmlformats.org/officeDocument/2006/relationships/oleObject" Target="embeddings/oleObject17.bin"/><Relationship Id="rId57" Type="http://schemas.openxmlformats.org/officeDocument/2006/relationships/image" Target="media/image18.wmf"/><Relationship Id="rId58" Type="http://schemas.openxmlformats.org/officeDocument/2006/relationships/oleObject" Target="embeddings/oleObject18.bin"/><Relationship Id="rId59" Type="http://schemas.openxmlformats.org/officeDocument/2006/relationships/image" Target="media/image19.wmf"/><Relationship Id="rId60" Type="http://schemas.openxmlformats.org/officeDocument/2006/relationships/oleObject" Target="embeddings/oleObject19.bin"/><Relationship Id="rId61" Type="http://schemas.openxmlformats.org/officeDocument/2006/relationships/image" Target="media/image20.wmf"/><Relationship Id="rId62" Type="http://schemas.openxmlformats.org/officeDocument/2006/relationships/oleObject" Target="embeddings/oleObject20.bin"/><Relationship Id="rId63" Type="http://schemas.openxmlformats.org/officeDocument/2006/relationships/image" Target="media/image21.wmf"/><Relationship Id="rId64" Type="http://schemas.openxmlformats.org/officeDocument/2006/relationships/oleObject" Target="embeddings/oleObject21.bin"/><Relationship Id="rId65" Type="http://schemas.openxmlformats.org/officeDocument/2006/relationships/image" Target="media/image22.wmf"/><Relationship Id="rId66" Type="http://schemas.openxmlformats.org/officeDocument/2006/relationships/oleObject" Target="embeddings/oleObject22.bin"/><Relationship Id="rId67" Type="http://schemas.openxmlformats.org/officeDocument/2006/relationships/image" Target="media/image23.wmf"/><Relationship Id="rId68" Type="http://schemas.openxmlformats.org/officeDocument/2006/relationships/oleObject" Target="embeddings/oleObject23.bin"/><Relationship Id="rId69" Type="http://schemas.openxmlformats.org/officeDocument/2006/relationships/image" Target="media/image24.wmf"/><Relationship Id="rId70" Type="http://schemas.openxmlformats.org/officeDocument/2006/relationships/oleObject" Target="embeddings/oleObject24.bin"/><Relationship Id="rId71" Type="http://schemas.openxmlformats.org/officeDocument/2006/relationships/image" Target="media/image25.wmf"/><Relationship Id="rId72" Type="http://schemas.openxmlformats.org/officeDocument/2006/relationships/oleObject" Target="embeddings/oleObject25.bin"/><Relationship Id="rId73" Type="http://schemas.openxmlformats.org/officeDocument/2006/relationships/image" Target="media/image26.wmf"/><Relationship Id="rId74" Type="http://schemas.openxmlformats.org/officeDocument/2006/relationships/oleObject" Target="embeddings/oleObject26.bin"/><Relationship Id="rId75" Type="http://schemas.openxmlformats.org/officeDocument/2006/relationships/image" Target="media/image27.wmf"/><Relationship Id="rId76" Type="http://schemas.openxmlformats.org/officeDocument/2006/relationships/oleObject" Target="embeddings/oleObject27.bin"/><Relationship Id="rId77" Type="http://schemas.openxmlformats.org/officeDocument/2006/relationships/image" Target="media/image28.wmf"/><Relationship Id="rId78" Type="http://schemas.openxmlformats.org/officeDocument/2006/relationships/oleObject" Target="embeddings/oleObject28.bin"/><Relationship Id="rId79" Type="http://schemas.openxmlformats.org/officeDocument/2006/relationships/image" Target="media/image29.wmf"/><Relationship Id="rId80" Type="http://schemas.openxmlformats.org/officeDocument/2006/relationships/oleObject" Target="embeddings/oleObject29.bin"/><Relationship Id="rId81" Type="http://schemas.openxmlformats.org/officeDocument/2006/relationships/image" Target="media/image30.wmf"/><Relationship Id="rId82" Type="http://schemas.openxmlformats.org/officeDocument/2006/relationships/oleObject" Target="embeddings/oleObject30.bin"/><Relationship Id="rId83" Type="http://schemas.openxmlformats.org/officeDocument/2006/relationships/image" Target="media/image31.wmf"/><Relationship Id="rId84" Type="http://schemas.openxmlformats.org/officeDocument/2006/relationships/oleObject" Target="embeddings/oleObject31.bin"/><Relationship Id="rId85" Type="http://schemas.openxmlformats.org/officeDocument/2006/relationships/image" Target="media/image32.wmf"/><Relationship Id="rId86" Type="http://schemas.openxmlformats.org/officeDocument/2006/relationships/oleObject" Target="embeddings/oleObject32.bin"/><Relationship Id="rId87" Type="http://schemas.openxmlformats.org/officeDocument/2006/relationships/image" Target="media/image33.wmf"/><Relationship Id="rId88" Type="http://schemas.openxmlformats.org/officeDocument/2006/relationships/oleObject" Target="embeddings/oleObject33.bin"/><Relationship Id="rId89" Type="http://schemas.openxmlformats.org/officeDocument/2006/relationships/image" Target="media/image34.wmf"/><Relationship Id="rId90" Type="http://schemas.openxmlformats.org/officeDocument/2006/relationships/oleObject" Target="embeddings/oleObject34.bin"/><Relationship Id="rId91" Type="http://schemas.openxmlformats.org/officeDocument/2006/relationships/image" Target="media/image35.wmf"/><Relationship Id="rId92" Type="http://schemas.openxmlformats.org/officeDocument/2006/relationships/oleObject" Target="embeddings/oleObject35.bin"/><Relationship Id="rId93" Type="http://schemas.openxmlformats.org/officeDocument/2006/relationships/image" Target="media/image36.wmf"/><Relationship Id="rId94" Type="http://schemas.openxmlformats.org/officeDocument/2006/relationships/oleObject" Target="embeddings/oleObject36.bin"/><Relationship Id="rId95" Type="http://schemas.openxmlformats.org/officeDocument/2006/relationships/image" Target="media/image37.wmf"/><Relationship Id="rId96" Type="http://schemas.openxmlformats.org/officeDocument/2006/relationships/oleObject" Target="embeddings/oleObject37.bin"/><Relationship Id="rId97" Type="http://schemas.openxmlformats.org/officeDocument/2006/relationships/image" Target="media/image38.wmf"/><Relationship Id="rId98" Type="http://schemas.openxmlformats.org/officeDocument/2006/relationships/oleObject" Target="embeddings/oleObject38.bin"/><Relationship Id="rId99" Type="http://schemas.openxmlformats.org/officeDocument/2006/relationships/image" Target="media/image39.wmf"/><Relationship Id="rId100" Type="http://schemas.openxmlformats.org/officeDocument/2006/relationships/oleObject" Target="embeddings/oleObject39.bin"/><Relationship Id="rId101" Type="http://schemas.openxmlformats.org/officeDocument/2006/relationships/image" Target="media/image40.wmf"/><Relationship Id="rId102" Type="http://schemas.openxmlformats.org/officeDocument/2006/relationships/oleObject" Target="embeddings/oleObject40.bin"/><Relationship Id="rId103" Type="http://schemas.openxmlformats.org/officeDocument/2006/relationships/image" Target="media/image41.wmf"/><Relationship Id="rId104" Type="http://schemas.openxmlformats.org/officeDocument/2006/relationships/oleObject" Target="embeddings/oleObject41.bin"/><Relationship Id="rId105" Type="http://schemas.openxmlformats.org/officeDocument/2006/relationships/image" Target="media/image42.wmf"/><Relationship Id="rId106" Type="http://schemas.openxmlformats.org/officeDocument/2006/relationships/oleObject" Target="embeddings/oleObject42.bin"/><Relationship Id="rId107" Type="http://schemas.openxmlformats.org/officeDocument/2006/relationships/image" Target="media/image43.wmf"/><Relationship Id="rId108" Type="http://schemas.openxmlformats.org/officeDocument/2006/relationships/oleObject" Target="embeddings/oleObject43.bin"/><Relationship Id="rId109" Type="http://schemas.openxmlformats.org/officeDocument/2006/relationships/image" Target="media/image44.wmf"/><Relationship Id="rId110" Type="http://schemas.openxmlformats.org/officeDocument/2006/relationships/oleObject" Target="embeddings/oleObject44.bin"/><Relationship Id="rId111" Type="http://schemas.openxmlformats.org/officeDocument/2006/relationships/image" Target="media/image45.wmf"/><Relationship Id="rId112" Type="http://schemas.openxmlformats.org/officeDocument/2006/relationships/oleObject" Target="embeddings/oleObject45.bin"/><Relationship Id="rId113" Type="http://schemas.openxmlformats.org/officeDocument/2006/relationships/image" Target="media/image46.wmf"/><Relationship Id="rId114" Type="http://schemas.openxmlformats.org/officeDocument/2006/relationships/oleObject" Target="embeddings/oleObject46.bin"/><Relationship Id="rId115" Type="http://schemas.openxmlformats.org/officeDocument/2006/relationships/image" Target="media/image47.wmf"/><Relationship Id="rId116" Type="http://schemas.openxmlformats.org/officeDocument/2006/relationships/oleObject" Target="embeddings/oleObject47.bin"/><Relationship Id="rId117" Type="http://schemas.openxmlformats.org/officeDocument/2006/relationships/image" Target="media/image48.wmf"/><Relationship Id="rId118" Type="http://schemas.openxmlformats.org/officeDocument/2006/relationships/oleObject" Target="embeddings/oleObject48.bin"/><Relationship Id="rId119" Type="http://schemas.openxmlformats.org/officeDocument/2006/relationships/image" Target="media/image49.wmf"/><Relationship Id="rId120" Type="http://schemas.openxmlformats.org/officeDocument/2006/relationships/oleObject" Target="embeddings/oleObject49.bin"/><Relationship Id="rId121" Type="http://schemas.openxmlformats.org/officeDocument/2006/relationships/image" Target="media/image50.wmf"/><Relationship Id="rId122" Type="http://schemas.openxmlformats.org/officeDocument/2006/relationships/oleObject" Target="embeddings/oleObject50.bin"/><Relationship Id="rId123" Type="http://schemas.openxmlformats.org/officeDocument/2006/relationships/image" Target="media/image51.wmf"/><Relationship Id="rId124" Type="http://schemas.openxmlformats.org/officeDocument/2006/relationships/oleObject" Target="embeddings/oleObject51.bin"/><Relationship Id="rId125" Type="http://schemas.openxmlformats.org/officeDocument/2006/relationships/image" Target="media/image52.wmf"/><Relationship Id="rId126" Type="http://schemas.openxmlformats.org/officeDocument/2006/relationships/oleObject" Target="embeddings/oleObject52.bin"/><Relationship Id="rId127" Type="http://schemas.openxmlformats.org/officeDocument/2006/relationships/image" Target="media/image53.wmf"/><Relationship Id="rId128" Type="http://schemas.openxmlformats.org/officeDocument/2006/relationships/oleObject" Target="embeddings/oleObject53.bin"/><Relationship Id="rId129" Type="http://schemas.openxmlformats.org/officeDocument/2006/relationships/image" Target="media/image54.wmf"/><Relationship Id="rId130" Type="http://schemas.openxmlformats.org/officeDocument/2006/relationships/oleObject" Target="embeddings/oleObject54.bin"/><Relationship Id="rId131" Type="http://schemas.openxmlformats.org/officeDocument/2006/relationships/image" Target="media/image55.wmf"/><Relationship Id="rId132" Type="http://schemas.openxmlformats.org/officeDocument/2006/relationships/oleObject" Target="embeddings/oleObject55.bin"/><Relationship Id="rId133" Type="http://schemas.openxmlformats.org/officeDocument/2006/relationships/image" Target="media/image56.wmf"/><Relationship Id="rId134" Type="http://schemas.openxmlformats.org/officeDocument/2006/relationships/oleObject" Target="embeddings/oleObject56.bin"/><Relationship Id="rId135" Type="http://schemas.openxmlformats.org/officeDocument/2006/relationships/image" Target="media/image57.wmf"/><Relationship Id="rId136" Type="http://schemas.openxmlformats.org/officeDocument/2006/relationships/oleObject" Target="embeddings/oleObject57.bin"/><Relationship Id="rId137" Type="http://schemas.openxmlformats.org/officeDocument/2006/relationships/image" Target="media/image58.wmf"/><Relationship Id="rId138" Type="http://schemas.openxmlformats.org/officeDocument/2006/relationships/oleObject" Target="embeddings/oleObject58.bin"/><Relationship Id="rId139" Type="http://schemas.openxmlformats.org/officeDocument/2006/relationships/image" Target="media/image59.wmf"/><Relationship Id="rId140" Type="http://schemas.openxmlformats.org/officeDocument/2006/relationships/oleObject" Target="embeddings/oleObject59.bin"/><Relationship Id="rId141" Type="http://schemas.openxmlformats.org/officeDocument/2006/relationships/image" Target="media/image60.wmf"/><Relationship Id="rId142" Type="http://schemas.openxmlformats.org/officeDocument/2006/relationships/oleObject" Target="embeddings/oleObject60.bin"/><Relationship Id="rId143" Type="http://schemas.openxmlformats.org/officeDocument/2006/relationships/image" Target="media/image61.wmf"/><Relationship Id="rId144" Type="http://schemas.openxmlformats.org/officeDocument/2006/relationships/oleObject" Target="embeddings/oleObject61.bin"/><Relationship Id="rId145" Type="http://schemas.openxmlformats.org/officeDocument/2006/relationships/image" Target="media/image62.wmf"/><Relationship Id="rId146" Type="http://schemas.openxmlformats.org/officeDocument/2006/relationships/oleObject" Target="embeddings/oleObject62.bin"/><Relationship Id="rId147" Type="http://schemas.openxmlformats.org/officeDocument/2006/relationships/image" Target="media/image63.wmf"/><Relationship Id="rId148" Type="http://schemas.openxmlformats.org/officeDocument/2006/relationships/oleObject" Target="embeddings/oleObject63.bin"/><Relationship Id="rId149" Type="http://schemas.openxmlformats.org/officeDocument/2006/relationships/image" Target="media/image64.wmf"/><Relationship Id="rId150" Type="http://schemas.openxmlformats.org/officeDocument/2006/relationships/oleObject" Target="embeddings/oleObject64.bin"/><Relationship Id="rId151" Type="http://schemas.openxmlformats.org/officeDocument/2006/relationships/image" Target="media/image65.wmf"/><Relationship Id="rId152" Type="http://schemas.openxmlformats.org/officeDocument/2006/relationships/oleObject" Target="embeddings/oleObject65.bin"/><Relationship Id="rId153" Type="http://schemas.openxmlformats.org/officeDocument/2006/relationships/image" Target="media/image66.wmf"/><Relationship Id="rId154" Type="http://schemas.openxmlformats.org/officeDocument/2006/relationships/oleObject" Target="embeddings/oleObject66.bin"/><Relationship Id="rId155" Type="http://schemas.openxmlformats.org/officeDocument/2006/relationships/image" Target="media/image67.wmf"/><Relationship Id="rId156" Type="http://schemas.openxmlformats.org/officeDocument/2006/relationships/oleObject" Target="embeddings/oleObject67.bin"/><Relationship Id="rId157" Type="http://schemas.openxmlformats.org/officeDocument/2006/relationships/image" Target="media/image68.wmf"/><Relationship Id="rId158" Type="http://schemas.openxmlformats.org/officeDocument/2006/relationships/oleObject" Target="embeddings/oleObject68.bin"/><Relationship Id="rId159" Type="http://schemas.openxmlformats.org/officeDocument/2006/relationships/image" Target="media/image69.wmf"/><Relationship Id="rId160" Type="http://schemas.openxmlformats.org/officeDocument/2006/relationships/oleObject" Target="embeddings/oleObject69.bin"/><Relationship Id="rId161" Type="http://schemas.openxmlformats.org/officeDocument/2006/relationships/image" Target="media/image70.wmf"/><Relationship Id="rId162" Type="http://schemas.openxmlformats.org/officeDocument/2006/relationships/oleObject" Target="embeddings/oleObject70.bin"/><Relationship Id="rId163" Type="http://schemas.openxmlformats.org/officeDocument/2006/relationships/image" Target="media/image71.wmf"/><Relationship Id="rId164" Type="http://schemas.openxmlformats.org/officeDocument/2006/relationships/oleObject" Target="embeddings/oleObject71.bin"/><Relationship Id="rId165" Type="http://schemas.openxmlformats.org/officeDocument/2006/relationships/image" Target="media/image72.wmf"/><Relationship Id="rId166" Type="http://schemas.openxmlformats.org/officeDocument/2006/relationships/oleObject" Target="embeddings/oleObject72.bin"/><Relationship Id="rId167" Type="http://schemas.openxmlformats.org/officeDocument/2006/relationships/image" Target="media/image73.wmf"/><Relationship Id="rId168" Type="http://schemas.openxmlformats.org/officeDocument/2006/relationships/oleObject" Target="embeddings/oleObject73.bin"/><Relationship Id="rId169" Type="http://schemas.openxmlformats.org/officeDocument/2006/relationships/image" Target="media/image74.wmf"/><Relationship Id="rId170" Type="http://schemas.openxmlformats.org/officeDocument/2006/relationships/oleObject" Target="embeddings/oleObject74.bin"/><Relationship Id="rId171" Type="http://schemas.openxmlformats.org/officeDocument/2006/relationships/image" Target="media/image75.wmf"/><Relationship Id="rId172" Type="http://schemas.openxmlformats.org/officeDocument/2006/relationships/oleObject" Target="embeddings/oleObject75.bin"/><Relationship Id="rId173" Type="http://schemas.openxmlformats.org/officeDocument/2006/relationships/image" Target="media/image76.wmf"/><Relationship Id="rId174" Type="http://schemas.openxmlformats.org/officeDocument/2006/relationships/oleObject" Target="embeddings/oleObject76.bin"/><Relationship Id="rId175" Type="http://schemas.openxmlformats.org/officeDocument/2006/relationships/image" Target="media/image77.wmf"/><Relationship Id="rId176" Type="http://schemas.openxmlformats.org/officeDocument/2006/relationships/oleObject" Target="embeddings/oleObject77.bin"/><Relationship Id="rId177" Type="http://schemas.openxmlformats.org/officeDocument/2006/relationships/image" Target="media/image78.wmf"/><Relationship Id="rId178" Type="http://schemas.openxmlformats.org/officeDocument/2006/relationships/oleObject" Target="embeddings/oleObject78.bin"/><Relationship Id="rId179" Type="http://schemas.openxmlformats.org/officeDocument/2006/relationships/image" Target="media/image79.wmf"/><Relationship Id="rId180" Type="http://schemas.openxmlformats.org/officeDocument/2006/relationships/oleObject" Target="embeddings/oleObject79.bin"/><Relationship Id="rId181" Type="http://schemas.openxmlformats.org/officeDocument/2006/relationships/image" Target="media/image80.wmf"/><Relationship Id="rId182" Type="http://schemas.openxmlformats.org/officeDocument/2006/relationships/oleObject" Target="embeddings/oleObject80.bin"/><Relationship Id="rId183" Type="http://schemas.openxmlformats.org/officeDocument/2006/relationships/image" Target="media/image81.wmf"/><Relationship Id="rId184" Type="http://schemas.openxmlformats.org/officeDocument/2006/relationships/oleObject" Target="embeddings/oleObject81.bin"/><Relationship Id="rId185" Type="http://schemas.openxmlformats.org/officeDocument/2006/relationships/image" Target="media/image82.wmf"/><Relationship Id="rId186" Type="http://schemas.openxmlformats.org/officeDocument/2006/relationships/oleObject" Target="embeddings/oleObject82.bin"/><Relationship Id="rId187" Type="http://schemas.openxmlformats.org/officeDocument/2006/relationships/image" Target="media/image83.wmf"/><Relationship Id="rId188" Type="http://schemas.openxmlformats.org/officeDocument/2006/relationships/oleObject" Target="embeddings/oleObject83.bin"/><Relationship Id="rId189" Type="http://schemas.openxmlformats.org/officeDocument/2006/relationships/image" Target="media/image84.wmf"/><Relationship Id="rId190" Type="http://schemas.openxmlformats.org/officeDocument/2006/relationships/oleObject" Target="embeddings/oleObject84.bin"/><Relationship Id="rId191" Type="http://schemas.openxmlformats.org/officeDocument/2006/relationships/image" Target="media/image85.wmf"/><Relationship Id="rId192" Type="http://schemas.openxmlformats.org/officeDocument/2006/relationships/oleObject" Target="embeddings/oleObject85.bin"/><Relationship Id="rId193" Type="http://schemas.openxmlformats.org/officeDocument/2006/relationships/image" Target="media/image86.wmf"/><Relationship Id="rId194" Type="http://schemas.openxmlformats.org/officeDocument/2006/relationships/oleObject" Target="embeddings/oleObject86.bin"/><Relationship Id="rId195" Type="http://schemas.openxmlformats.org/officeDocument/2006/relationships/image" Target="media/image87.wmf"/><Relationship Id="rId196" Type="http://schemas.openxmlformats.org/officeDocument/2006/relationships/oleObject" Target="embeddings/oleObject87.bin"/><Relationship Id="rId197" Type="http://schemas.openxmlformats.org/officeDocument/2006/relationships/image" Target="media/image88.wmf"/><Relationship Id="rId198" Type="http://schemas.openxmlformats.org/officeDocument/2006/relationships/oleObject" Target="embeddings/oleObject88.bin"/><Relationship Id="rId199" Type="http://schemas.openxmlformats.org/officeDocument/2006/relationships/image" Target="media/image89.wmf"/><Relationship Id="rId200" Type="http://schemas.openxmlformats.org/officeDocument/2006/relationships/oleObject" Target="embeddings/oleObject89.bin"/><Relationship Id="rId201" Type="http://schemas.openxmlformats.org/officeDocument/2006/relationships/image" Target="media/image90.wmf"/><Relationship Id="rId202" Type="http://schemas.openxmlformats.org/officeDocument/2006/relationships/oleObject" Target="embeddings/oleObject90.bin"/><Relationship Id="rId203" Type="http://schemas.openxmlformats.org/officeDocument/2006/relationships/image" Target="media/image91.wmf"/><Relationship Id="rId204" Type="http://schemas.openxmlformats.org/officeDocument/2006/relationships/oleObject" Target="embeddings/oleObject91.bin"/><Relationship Id="rId205" Type="http://schemas.openxmlformats.org/officeDocument/2006/relationships/image" Target="media/image92.wmf"/><Relationship Id="rId206" Type="http://schemas.openxmlformats.org/officeDocument/2006/relationships/oleObject" Target="embeddings/oleObject92.bin"/><Relationship Id="rId207" Type="http://schemas.openxmlformats.org/officeDocument/2006/relationships/image" Target="media/image93.wmf"/><Relationship Id="rId208" Type="http://schemas.openxmlformats.org/officeDocument/2006/relationships/oleObject" Target="embeddings/oleObject93.bin"/><Relationship Id="rId209" Type="http://schemas.openxmlformats.org/officeDocument/2006/relationships/image" Target="media/image94.wmf"/><Relationship Id="rId210" Type="http://schemas.openxmlformats.org/officeDocument/2006/relationships/oleObject" Target="embeddings/oleObject94.bin"/><Relationship Id="rId211" Type="http://schemas.openxmlformats.org/officeDocument/2006/relationships/image" Target="media/image95.wmf"/><Relationship Id="rId212" Type="http://schemas.openxmlformats.org/officeDocument/2006/relationships/oleObject" Target="embeddings/oleObject95.bin"/><Relationship Id="rId213" Type="http://schemas.openxmlformats.org/officeDocument/2006/relationships/image" Target="media/image96.wmf"/><Relationship Id="rId214" Type="http://schemas.openxmlformats.org/officeDocument/2006/relationships/oleObject" Target="embeddings/oleObject96.bin"/><Relationship Id="rId215" Type="http://schemas.openxmlformats.org/officeDocument/2006/relationships/image" Target="media/image97.wmf"/><Relationship Id="rId216" Type="http://schemas.openxmlformats.org/officeDocument/2006/relationships/oleObject" Target="embeddings/oleObject97.bin"/><Relationship Id="rId217" Type="http://schemas.openxmlformats.org/officeDocument/2006/relationships/image" Target="media/image98.wmf"/><Relationship Id="rId218" Type="http://schemas.openxmlformats.org/officeDocument/2006/relationships/oleObject" Target="embeddings/oleObject98.bin"/><Relationship Id="rId219" Type="http://schemas.openxmlformats.org/officeDocument/2006/relationships/image" Target="media/image99.wmf"/><Relationship Id="rId220" Type="http://schemas.openxmlformats.org/officeDocument/2006/relationships/oleObject" Target="embeddings/oleObject99.bin"/><Relationship Id="rId221" Type="http://schemas.openxmlformats.org/officeDocument/2006/relationships/image" Target="media/image100.wmf"/><Relationship Id="rId222" Type="http://schemas.openxmlformats.org/officeDocument/2006/relationships/oleObject" Target="embeddings/oleObject100.bin"/><Relationship Id="rId223" Type="http://schemas.openxmlformats.org/officeDocument/2006/relationships/image" Target="media/image101.wmf"/><Relationship Id="rId224" Type="http://schemas.openxmlformats.org/officeDocument/2006/relationships/oleObject" Target="embeddings/oleObject101.bin"/><Relationship Id="rId225" Type="http://schemas.openxmlformats.org/officeDocument/2006/relationships/image" Target="media/image102.wmf"/><Relationship Id="rId226" Type="http://schemas.openxmlformats.org/officeDocument/2006/relationships/oleObject" Target="embeddings/oleObject102.bin"/><Relationship Id="rId227" Type="http://schemas.openxmlformats.org/officeDocument/2006/relationships/image" Target="media/image103.wmf"/><Relationship Id="rId228" Type="http://schemas.openxmlformats.org/officeDocument/2006/relationships/oleObject" Target="embeddings/oleObject103.bin"/><Relationship Id="rId229" Type="http://schemas.openxmlformats.org/officeDocument/2006/relationships/image" Target="media/image104.wmf"/><Relationship Id="rId230" Type="http://schemas.openxmlformats.org/officeDocument/2006/relationships/oleObject" Target="embeddings/oleObject104.bin"/><Relationship Id="rId231" Type="http://schemas.openxmlformats.org/officeDocument/2006/relationships/image" Target="media/image105.wmf"/><Relationship Id="rId232" Type="http://schemas.openxmlformats.org/officeDocument/2006/relationships/oleObject" Target="embeddings/oleObject105.bin"/><Relationship Id="rId233" Type="http://schemas.openxmlformats.org/officeDocument/2006/relationships/image" Target="media/image106.wmf"/><Relationship Id="rId234" Type="http://schemas.openxmlformats.org/officeDocument/2006/relationships/oleObject" Target="embeddings/oleObject106.bin"/><Relationship Id="rId235" Type="http://schemas.openxmlformats.org/officeDocument/2006/relationships/image" Target="media/image107.wmf"/><Relationship Id="rId236" Type="http://schemas.openxmlformats.org/officeDocument/2006/relationships/oleObject" Target="embeddings/oleObject107.bin"/><Relationship Id="rId237" Type="http://schemas.openxmlformats.org/officeDocument/2006/relationships/image" Target="media/image108.wmf"/><Relationship Id="rId238" Type="http://schemas.openxmlformats.org/officeDocument/2006/relationships/oleObject" Target="embeddings/oleObject108.bin"/><Relationship Id="rId239" Type="http://schemas.openxmlformats.org/officeDocument/2006/relationships/image" Target="media/image109.wmf"/><Relationship Id="rId240" Type="http://schemas.openxmlformats.org/officeDocument/2006/relationships/oleObject" Target="embeddings/oleObject109.bin"/><Relationship Id="rId241" Type="http://schemas.openxmlformats.org/officeDocument/2006/relationships/image" Target="media/image110.wmf"/><Relationship Id="rId242" Type="http://schemas.openxmlformats.org/officeDocument/2006/relationships/oleObject" Target="embeddings/oleObject110.bin"/><Relationship Id="rId243" Type="http://schemas.openxmlformats.org/officeDocument/2006/relationships/image" Target="media/image111.wmf"/><Relationship Id="rId244" Type="http://schemas.openxmlformats.org/officeDocument/2006/relationships/oleObject" Target="embeddings/oleObject111.bin"/><Relationship Id="rId245" Type="http://schemas.openxmlformats.org/officeDocument/2006/relationships/image" Target="media/image112.wmf"/><Relationship Id="rId246" Type="http://schemas.openxmlformats.org/officeDocument/2006/relationships/oleObject" Target="embeddings/oleObject112.bin"/><Relationship Id="rId247" Type="http://schemas.openxmlformats.org/officeDocument/2006/relationships/image" Target="media/image113.wmf"/><Relationship Id="rId248" Type="http://schemas.openxmlformats.org/officeDocument/2006/relationships/oleObject" Target="embeddings/oleObject113.bin"/><Relationship Id="rId249" Type="http://schemas.openxmlformats.org/officeDocument/2006/relationships/image" Target="media/image114.wmf"/><Relationship Id="rId250" Type="http://schemas.openxmlformats.org/officeDocument/2006/relationships/oleObject" Target="embeddings/oleObject114.bin"/><Relationship Id="rId251" Type="http://schemas.openxmlformats.org/officeDocument/2006/relationships/image" Target="media/image115.wmf"/><Relationship Id="rId252" Type="http://schemas.openxmlformats.org/officeDocument/2006/relationships/oleObject" Target="embeddings/oleObject115.bin"/><Relationship Id="rId253" Type="http://schemas.openxmlformats.org/officeDocument/2006/relationships/image" Target="media/image116.wmf"/><Relationship Id="rId254" Type="http://schemas.openxmlformats.org/officeDocument/2006/relationships/oleObject" Target="embeddings/oleObject116.bin"/><Relationship Id="rId255" Type="http://schemas.openxmlformats.org/officeDocument/2006/relationships/image" Target="media/image117.wmf"/><Relationship Id="rId256" Type="http://schemas.openxmlformats.org/officeDocument/2006/relationships/oleObject" Target="embeddings/oleObject117.bin"/><Relationship Id="rId257" Type="http://schemas.openxmlformats.org/officeDocument/2006/relationships/image" Target="media/image118.wmf"/><Relationship Id="rId258" Type="http://schemas.openxmlformats.org/officeDocument/2006/relationships/oleObject" Target="embeddings/oleObject118.bin"/><Relationship Id="rId259" Type="http://schemas.openxmlformats.org/officeDocument/2006/relationships/image" Target="media/image119.wmf"/><Relationship Id="rId260" Type="http://schemas.openxmlformats.org/officeDocument/2006/relationships/oleObject" Target="embeddings/oleObject119.bin"/><Relationship Id="rId261" Type="http://schemas.openxmlformats.org/officeDocument/2006/relationships/image" Target="media/image120.wmf"/><Relationship Id="rId262" Type="http://schemas.openxmlformats.org/officeDocument/2006/relationships/oleObject" Target="embeddings/oleObject120.bin"/><Relationship Id="rId263" Type="http://schemas.openxmlformats.org/officeDocument/2006/relationships/image" Target="media/image121.wmf"/><Relationship Id="rId264" Type="http://schemas.openxmlformats.org/officeDocument/2006/relationships/oleObject" Target="embeddings/oleObject121.bin"/><Relationship Id="rId265" Type="http://schemas.openxmlformats.org/officeDocument/2006/relationships/image" Target="media/image122.wmf"/><Relationship Id="rId266" Type="http://schemas.openxmlformats.org/officeDocument/2006/relationships/oleObject" Target="embeddings/oleObject122.bin"/><Relationship Id="rId267" Type="http://schemas.openxmlformats.org/officeDocument/2006/relationships/image" Target="media/image123.wmf"/><Relationship Id="rId268" Type="http://schemas.openxmlformats.org/officeDocument/2006/relationships/oleObject" Target="embeddings/oleObject123.bin"/><Relationship Id="rId269" Type="http://schemas.openxmlformats.org/officeDocument/2006/relationships/image" Target="media/image124.wmf"/><Relationship Id="rId270" Type="http://schemas.openxmlformats.org/officeDocument/2006/relationships/oleObject" Target="embeddings/oleObject124.bin"/><Relationship Id="rId271" Type="http://schemas.openxmlformats.org/officeDocument/2006/relationships/image" Target="media/image125.wmf"/><Relationship Id="rId272" Type="http://schemas.openxmlformats.org/officeDocument/2006/relationships/oleObject" Target="embeddings/oleObject125.bin"/><Relationship Id="rId273" Type="http://schemas.openxmlformats.org/officeDocument/2006/relationships/image" Target="media/image126.wmf"/><Relationship Id="rId274" Type="http://schemas.openxmlformats.org/officeDocument/2006/relationships/oleObject" Target="embeddings/oleObject126.bin"/><Relationship Id="rId275" Type="http://schemas.openxmlformats.org/officeDocument/2006/relationships/image" Target="media/image127.wmf"/><Relationship Id="rId276" Type="http://schemas.openxmlformats.org/officeDocument/2006/relationships/oleObject" Target="embeddings/oleObject127.bin"/><Relationship Id="rId277" Type="http://schemas.openxmlformats.org/officeDocument/2006/relationships/image" Target="media/image128.wmf"/><Relationship Id="rId278" Type="http://schemas.openxmlformats.org/officeDocument/2006/relationships/oleObject" Target="embeddings/oleObject128.bin"/><Relationship Id="rId279" Type="http://schemas.openxmlformats.org/officeDocument/2006/relationships/image" Target="media/image129.wmf"/><Relationship Id="rId280" Type="http://schemas.openxmlformats.org/officeDocument/2006/relationships/oleObject" Target="embeddings/oleObject129.bin"/><Relationship Id="rId281" Type="http://schemas.openxmlformats.org/officeDocument/2006/relationships/image" Target="media/image130.wmf"/><Relationship Id="rId282" Type="http://schemas.openxmlformats.org/officeDocument/2006/relationships/oleObject" Target="embeddings/oleObject130.bin"/><Relationship Id="rId283" Type="http://schemas.openxmlformats.org/officeDocument/2006/relationships/image" Target="media/image131.wmf"/><Relationship Id="rId284" Type="http://schemas.openxmlformats.org/officeDocument/2006/relationships/oleObject" Target="embeddings/oleObject131.bin"/><Relationship Id="rId285" Type="http://schemas.openxmlformats.org/officeDocument/2006/relationships/image" Target="media/image132.wmf"/><Relationship Id="rId286" Type="http://schemas.openxmlformats.org/officeDocument/2006/relationships/oleObject" Target="embeddings/oleObject132.bin"/><Relationship Id="rId287" Type="http://schemas.openxmlformats.org/officeDocument/2006/relationships/image" Target="media/image133.wmf"/><Relationship Id="rId288" Type="http://schemas.openxmlformats.org/officeDocument/2006/relationships/oleObject" Target="embeddings/oleObject133.bin"/><Relationship Id="rId289" Type="http://schemas.openxmlformats.org/officeDocument/2006/relationships/image" Target="media/image134.wmf"/><Relationship Id="rId290" Type="http://schemas.openxmlformats.org/officeDocument/2006/relationships/oleObject" Target="embeddings/oleObject134.bin"/><Relationship Id="rId291" Type="http://schemas.openxmlformats.org/officeDocument/2006/relationships/image" Target="media/image135.wmf"/><Relationship Id="rId292" Type="http://schemas.openxmlformats.org/officeDocument/2006/relationships/oleObject" Target="embeddings/oleObject135.bin"/><Relationship Id="rId293" Type="http://schemas.openxmlformats.org/officeDocument/2006/relationships/image" Target="media/image136.wmf"/><Relationship Id="rId294" Type="http://schemas.openxmlformats.org/officeDocument/2006/relationships/oleObject" Target="embeddings/oleObject136.bin"/><Relationship Id="rId295" Type="http://schemas.openxmlformats.org/officeDocument/2006/relationships/image" Target="media/image137.wmf"/><Relationship Id="rId296" Type="http://schemas.openxmlformats.org/officeDocument/2006/relationships/oleObject" Target="embeddings/oleObject137.bin"/><Relationship Id="rId297" Type="http://schemas.openxmlformats.org/officeDocument/2006/relationships/image" Target="media/image138.wmf"/><Relationship Id="rId298" Type="http://schemas.openxmlformats.org/officeDocument/2006/relationships/oleObject" Target="embeddings/oleObject138.bin"/><Relationship Id="rId299" Type="http://schemas.openxmlformats.org/officeDocument/2006/relationships/image" Target="media/image139.wmf"/><Relationship Id="rId300" Type="http://schemas.openxmlformats.org/officeDocument/2006/relationships/oleObject" Target="embeddings/oleObject139.bin"/><Relationship Id="rId301" Type="http://schemas.openxmlformats.org/officeDocument/2006/relationships/image" Target="media/image140.wmf"/><Relationship Id="rId302" Type="http://schemas.openxmlformats.org/officeDocument/2006/relationships/oleObject" Target="embeddings/oleObject140.bin"/><Relationship Id="rId303" Type="http://schemas.openxmlformats.org/officeDocument/2006/relationships/image" Target="media/image141.wmf"/><Relationship Id="rId304" Type="http://schemas.openxmlformats.org/officeDocument/2006/relationships/oleObject" Target="embeddings/oleObject141.bin"/><Relationship Id="rId305" Type="http://schemas.openxmlformats.org/officeDocument/2006/relationships/image" Target="media/image142.wmf"/><Relationship Id="rId306" Type="http://schemas.openxmlformats.org/officeDocument/2006/relationships/oleObject" Target="embeddings/oleObject142.bin"/><Relationship Id="rId307" Type="http://schemas.openxmlformats.org/officeDocument/2006/relationships/image" Target="media/image143.wmf"/><Relationship Id="rId308" Type="http://schemas.openxmlformats.org/officeDocument/2006/relationships/oleObject" Target="embeddings/oleObject143.bin"/><Relationship Id="rId309" Type="http://schemas.openxmlformats.org/officeDocument/2006/relationships/image" Target="media/image144.wmf"/><Relationship Id="rId310" Type="http://schemas.openxmlformats.org/officeDocument/2006/relationships/oleObject" Target="embeddings/oleObject144.bin"/><Relationship Id="rId311" Type="http://schemas.openxmlformats.org/officeDocument/2006/relationships/image" Target="media/image145.wmf"/><Relationship Id="rId312" Type="http://schemas.openxmlformats.org/officeDocument/2006/relationships/oleObject" Target="embeddings/oleObject145.bin"/><Relationship Id="rId313" Type="http://schemas.openxmlformats.org/officeDocument/2006/relationships/image" Target="media/image146.wmf"/><Relationship Id="rId314" Type="http://schemas.openxmlformats.org/officeDocument/2006/relationships/oleObject" Target="embeddings/oleObject146.bin"/><Relationship Id="rId315" Type="http://schemas.openxmlformats.org/officeDocument/2006/relationships/image" Target="media/image147.wmf"/><Relationship Id="rId316" Type="http://schemas.openxmlformats.org/officeDocument/2006/relationships/oleObject" Target="embeddings/oleObject147.bin"/><Relationship Id="rId317" Type="http://schemas.openxmlformats.org/officeDocument/2006/relationships/image" Target="media/image148.wmf"/><Relationship Id="rId318" Type="http://schemas.openxmlformats.org/officeDocument/2006/relationships/oleObject" Target="embeddings/oleObject148.bin"/><Relationship Id="rId319" Type="http://schemas.openxmlformats.org/officeDocument/2006/relationships/image" Target="media/image149.wmf"/><Relationship Id="rId320" Type="http://schemas.openxmlformats.org/officeDocument/2006/relationships/oleObject" Target="embeddings/oleObject149.bin"/><Relationship Id="rId321" Type="http://schemas.openxmlformats.org/officeDocument/2006/relationships/image" Target="media/image150.wmf"/><Relationship Id="rId322" Type="http://schemas.openxmlformats.org/officeDocument/2006/relationships/oleObject" Target="embeddings/oleObject150.bin"/><Relationship Id="rId323" Type="http://schemas.openxmlformats.org/officeDocument/2006/relationships/image" Target="media/image151.wmf"/><Relationship Id="rId324" Type="http://schemas.openxmlformats.org/officeDocument/2006/relationships/oleObject" Target="embeddings/oleObject151.bin"/><Relationship Id="rId325" Type="http://schemas.openxmlformats.org/officeDocument/2006/relationships/image" Target="media/image152.wmf"/><Relationship Id="rId326" Type="http://schemas.openxmlformats.org/officeDocument/2006/relationships/oleObject" Target="embeddings/oleObject152.bin"/><Relationship Id="rId327" Type="http://schemas.openxmlformats.org/officeDocument/2006/relationships/image" Target="media/image153.wmf"/><Relationship Id="rId328" Type="http://schemas.openxmlformats.org/officeDocument/2006/relationships/oleObject" Target="embeddings/oleObject153.bin"/><Relationship Id="rId329" Type="http://schemas.openxmlformats.org/officeDocument/2006/relationships/image" Target="media/image154.wmf"/><Relationship Id="rId330" Type="http://schemas.openxmlformats.org/officeDocument/2006/relationships/oleObject" Target="embeddings/oleObject154.bin"/><Relationship Id="rId331" Type="http://schemas.openxmlformats.org/officeDocument/2006/relationships/image" Target="media/image155.wmf"/><Relationship Id="rId332" Type="http://schemas.openxmlformats.org/officeDocument/2006/relationships/oleObject" Target="embeddings/oleObject155.bin"/><Relationship Id="rId333" Type="http://schemas.openxmlformats.org/officeDocument/2006/relationships/image" Target="media/image156.wmf"/><Relationship Id="rId334" Type="http://schemas.openxmlformats.org/officeDocument/2006/relationships/oleObject" Target="embeddings/oleObject156.bin"/><Relationship Id="rId335" Type="http://schemas.openxmlformats.org/officeDocument/2006/relationships/image" Target="media/image157.wmf"/><Relationship Id="rId336" Type="http://schemas.openxmlformats.org/officeDocument/2006/relationships/oleObject" Target="embeddings/oleObject157.bin"/><Relationship Id="rId337" Type="http://schemas.openxmlformats.org/officeDocument/2006/relationships/image" Target="media/image158.wmf"/><Relationship Id="rId338" Type="http://schemas.openxmlformats.org/officeDocument/2006/relationships/oleObject" Target="embeddings/oleObject158.bin"/><Relationship Id="rId339" Type="http://schemas.openxmlformats.org/officeDocument/2006/relationships/image" Target="media/image159.wmf"/><Relationship Id="rId340" Type="http://schemas.openxmlformats.org/officeDocument/2006/relationships/oleObject" Target="embeddings/oleObject159.bin"/><Relationship Id="rId341" Type="http://schemas.openxmlformats.org/officeDocument/2006/relationships/image" Target="media/image160.wmf"/><Relationship Id="rId342" Type="http://schemas.openxmlformats.org/officeDocument/2006/relationships/oleObject" Target="embeddings/oleObject160.bin"/><Relationship Id="rId343" Type="http://schemas.openxmlformats.org/officeDocument/2006/relationships/image" Target="media/image161.wmf"/><Relationship Id="rId344" Type="http://schemas.openxmlformats.org/officeDocument/2006/relationships/oleObject" Target="embeddings/oleObject161.bin"/><Relationship Id="rId345" Type="http://schemas.openxmlformats.org/officeDocument/2006/relationships/image" Target="media/image162.wmf"/><Relationship Id="rId346" Type="http://schemas.openxmlformats.org/officeDocument/2006/relationships/oleObject" Target="embeddings/oleObject162.bin"/><Relationship Id="rId347" Type="http://schemas.openxmlformats.org/officeDocument/2006/relationships/image" Target="media/image163.wmf"/><Relationship Id="rId348" Type="http://schemas.openxmlformats.org/officeDocument/2006/relationships/oleObject" Target="embeddings/oleObject163.bin"/><Relationship Id="rId349" Type="http://schemas.openxmlformats.org/officeDocument/2006/relationships/image" Target="media/image164.wmf"/><Relationship Id="rId350" Type="http://schemas.openxmlformats.org/officeDocument/2006/relationships/oleObject" Target="embeddings/oleObject164.bin"/><Relationship Id="rId351" Type="http://schemas.openxmlformats.org/officeDocument/2006/relationships/image" Target="media/image165.wmf"/><Relationship Id="rId352" Type="http://schemas.openxmlformats.org/officeDocument/2006/relationships/oleObject" Target="embeddings/oleObject165.bin"/><Relationship Id="rId353" Type="http://schemas.openxmlformats.org/officeDocument/2006/relationships/image" Target="media/image166.wmf"/><Relationship Id="rId354" Type="http://schemas.openxmlformats.org/officeDocument/2006/relationships/oleObject" Target="embeddings/oleObject166.bin"/><Relationship Id="rId355" Type="http://schemas.openxmlformats.org/officeDocument/2006/relationships/image" Target="media/image167.wmf"/><Relationship Id="rId356" Type="http://schemas.openxmlformats.org/officeDocument/2006/relationships/oleObject" Target="embeddings/oleObject167.bin"/><Relationship Id="rId357" Type="http://schemas.openxmlformats.org/officeDocument/2006/relationships/image" Target="media/image168.wmf"/><Relationship Id="rId358" Type="http://schemas.openxmlformats.org/officeDocument/2006/relationships/oleObject" Target="embeddings/oleObject168.bin"/><Relationship Id="rId359" Type="http://schemas.openxmlformats.org/officeDocument/2006/relationships/image" Target="media/image169.wmf"/><Relationship Id="rId360" Type="http://schemas.openxmlformats.org/officeDocument/2006/relationships/oleObject" Target="embeddings/oleObject169.bin"/><Relationship Id="rId361" Type="http://schemas.openxmlformats.org/officeDocument/2006/relationships/image" Target="media/image170.wmf"/><Relationship Id="rId362" Type="http://schemas.openxmlformats.org/officeDocument/2006/relationships/oleObject" Target="embeddings/oleObject170.bin"/><Relationship Id="rId363" Type="http://schemas.openxmlformats.org/officeDocument/2006/relationships/image" Target="media/image171.wmf"/><Relationship Id="rId364" Type="http://schemas.openxmlformats.org/officeDocument/2006/relationships/oleObject" Target="embeddings/oleObject171.bin"/><Relationship Id="rId365" Type="http://schemas.openxmlformats.org/officeDocument/2006/relationships/image" Target="media/image172.wmf"/><Relationship Id="rId366" Type="http://schemas.openxmlformats.org/officeDocument/2006/relationships/oleObject" Target="embeddings/oleObject172.bin"/><Relationship Id="rId367" Type="http://schemas.openxmlformats.org/officeDocument/2006/relationships/image" Target="media/image173.wmf"/><Relationship Id="rId368" Type="http://schemas.openxmlformats.org/officeDocument/2006/relationships/oleObject" Target="embeddings/oleObject173.bin"/><Relationship Id="rId369" Type="http://schemas.openxmlformats.org/officeDocument/2006/relationships/image" Target="media/image174.wmf"/><Relationship Id="rId370" Type="http://schemas.openxmlformats.org/officeDocument/2006/relationships/oleObject" Target="embeddings/oleObject174.bin"/><Relationship Id="rId371" Type="http://schemas.openxmlformats.org/officeDocument/2006/relationships/image" Target="media/image175.wmf"/><Relationship Id="rId372" Type="http://schemas.openxmlformats.org/officeDocument/2006/relationships/oleObject" Target="embeddings/oleObject175.bin"/><Relationship Id="rId373" Type="http://schemas.openxmlformats.org/officeDocument/2006/relationships/image" Target="media/image176.wmf"/><Relationship Id="rId374" Type="http://schemas.openxmlformats.org/officeDocument/2006/relationships/oleObject" Target="embeddings/oleObject176.bin"/><Relationship Id="rId375" Type="http://schemas.openxmlformats.org/officeDocument/2006/relationships/image" Target="media/image177.wmf"/><Relationship Id="rId376" Type="http://schemas.openxmlformats.org/officeDocument/2006/relationships/oleObject" Target="embeddings/oleObject177.bin"/><Relationship Id="rId377" Type="http://schemas.openxmlformats.org/officeDocument/2006/relationships/image" Target="media/image178.wmf"/><Relationship Id="rId378" Type="http://schemas.openxmlformats.org/officeDocument/2006/relationships/oleObject" Target="embeddings/oleObject178.bin"/><Relationship Id="rId379" Type="http://schemas.openxmlformats.org/officeDocument/2006/relationships/image" Target="media/image179.wmf"/><Relationship Id="rId380" Type="http://schemas.openxmlformats.org/officeDocument/2006/relationships/oleObject" Target="embeddings/oleObject179.bin"/><Relationship Id="rId381" Type="http://schemas.openxmlformats.org/officeDocument/2006/relationships/image" Target="media/image180.wmf"/><Relationship Id="rId382" Type="http://schemas.openxmlformats.org/officeDocument/2006/relationships/oleObject" Target="embeddings/oleObject180.bin"/><Relationship Id="rId383" Type="http://schemas.openxmlformats.org/officeDocument/2006/relationships/image" Target="media/image181.wmf"/><Relationship Id="rId384" Type="http://schemas.openxmlformats.org/officeDocument/2006/relationships/oleObject" Target="embeddings/oleObject181.bin"/><Relationship Id="rId385" Type="http://schemas.openxmlformats.org/officeDocument/2006/relationships/image" Target="media/image182.wmf"/><Relationship Id="rId386" Type="http://schemas.openxmlformats.org/officeDocument/2006/relationships/oleObject" Target="embeddings/oleObject182.bin"/><Relationship Id="rId387" Type="http://schemas.openxmlformats.org/officeDocument/2006/relationships/image" Target="media/image183.wmf"/><Relationship Id="rId388" Type="http://schemas.openxmlformats.org/officeDocument/2006/relationships/oleObject" Target="embeddings/oleObject183.bin"/><Relationship Id="rId389" Type="http://schemas.openxmlformats.org/officeDocument/2006/relationships/image" Target="media/image184.wmf"/><Relationship Id="rId390" Type="http://schemas.openxmlformats.org/officeDocument/2006/relationships/oleObject" Target="embeddings/oleObject184.bin"/><Relationship Id="rId391" Type="http://schemas.openxmlformats.org/officeDocument/2006/relationships/image" Target="media/image185.wmf"/><Relationship Id="rId392" Type="http://schemas.openxmlformats.org/officeDocument/2006/relationships/oleObject" Target="embeddings/oleObject185.bin"/><Relationship Id="rId393" Type="http://schemas.openxmlformats.org/officeDocument/2006/relationships/image" Target="media/image186.wmf"/><Relationship Id="rId394" Type="http://schemas.openxmlformats.org/officeDocument/2006/relationships/oleObject" Target="embeddings/oleObject186.bin"/><Relationship Id="rId395" Type="http://schemas.openxmlformats.org/officeDocument/2006/relationships/image" Target="media/image187.wmf"/><Relationship Id="rId396" Type="http://schemas.openxmlformats.org/officeDocument/2006/relationships/oleObject" Target="embeddings/oleObject187.bin"/><Relationship Id="rId397" Type="http://schemas.openxmlformats.org/officeDocument/2006/relationships/image" Target="media/image188.wmf"/><Relationship Id="rId398" Type="http://schemas.openxmlformats.org/officeDocument/2006/relationships/oleObject" Target="embeddings/oleObject188.bin"/><Relationship Id="rId399" Type="http://schemas.openxmlformats.org/officeDocument/2006/relationships/image" Target="media/image189.wmf"/><Relationship Id="rId400" Type="http://schemas.openxmlformats.org/officeDocument/2006/relationships/oleObject" Target="embeddings/oleObject189.bin"/><Relationship Id="rId401" Type="http://schemas.openxmlformats.org/officeDocument/2006/relationships/image" Target="media/image190.wmf"/><Relationship Id="rId402" Type="http://schemas.openxmlformats.org/officeDocument/2006/relationships/oleObject" Target="embeddings/oleObject190.bin"/><Relationship Id="rId403" Type="http://schemas.openxmlformats.org/officeDocument/2006/relationships/image" Target="media/image191.wmf"/><Relationship Id="rId404" Type="http://schemas.openxmlformats.org/officeDocument/2006/relationships/oleObject" Target="embeddings/oleObject191.bin"/><Relationship Id="rId405" Type="http://schemas.openxmlformats.org/officeDocument/2006/relationships/image" Target="media/image192.wmf"/><Relationship Id="rId406" Type="http://schemas.openxmlformats.org/officeDocument/2006/relationships/oleObject" Target="embeddings/oleObject192.bin"/><Relationship Id="rId407" Type="http://schemas.openxmlformats.org/officeDocument/2006/relationships/image" Target="media/image193.wmf"/><Relationship Id="rId408" Type="http://schemas.openxmlformats.org/officeDocument/2006/relationships/oleObject" Target="embeddings/oleObject193.bin"/><Relationship Id="rId409" Type="http://schemas.openxmlformats.org/officeDocument/2006/relationships/image" Target="media/image194.emf"/><Relationship Id="rId410" Type="http://schemas.openxmlformats.org/officeDocument/2006/relationships/image" Target="media/media194.svg"/><Relationship Id="rId411" Type="http://schemas.openxmlformats.org/officeDocument/2006/relationships/image" Target="media/image195.emf"/><Relationship Id="rId412" Type="http://schemas.openxmlformats.org/officeDocument/2006/relationships/package" Target="embeddings/Microsoft_Excel_Worksheet1.xlsx"/></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Liberation Sans"/>
        <a:cs typeface="Liberation Sans"/>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Liberation Sans"/>
        <a:cs typeface="Liberation Sans"/>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5E375-A661-4864-90F4-F7EE17769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haracters>74773</Characters>
  <CharactersWithSpaces>83950</CharactersWithSpaces>
  <Company>Inter RAO</Company>
  <DocSecurity>0</DocSecurity>
  <HyperlinksChanged>false</HyperlinksChanged>
  <Lines>623</Lines>
  <LinksUpToDate>false</LinksUpToDate>
  <Pages>36</Pages>
  <Paragraphs>167</Paragraphs>
  <ScaleCrop>false</ScaleCrop>
  <SharedDoc>false</SharedDoc>
  <Template>Normal.dotm</Template>
  <TotalTime>13</TotalTime>
  <Words>9344</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Методики расчета экономического ущерба от происшедших технологических нарушений и аварий</dc:title>
  <dc:creator>ANTUHOV Alexander A.</dc:creator>
  <cp:lastModifiedBy>brusnikina_in</cp:lastModifiedBy>
  <cp:revision>27</cp:revision>
  <cp:lastPrinted>2019-05-21T15:11:00Z</cp:lastPrinted>
  <dcterms:created xsi:type="dcterms:W3CDTF">2020-11-06T13:57:00Z</dcterms:created>
  <dcterms:modified xsi:type="dcterms:W3CDTF">2023-10-04T11:45:00Z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wnerUserId">
    <vt:lpwstr>Fatkhullin_DT</vt:lpwstr>
  </property>
  <property fmtid="{D5CDD505-2E9C-101B-9397-08002B2CF9AE}" pid="3" name="CustomObjectId">
    <vt:lpwstr/>
  </property>
  <property fmtid="{D5CDD505-2E9C-101B-9397-08002B2CF9AE}" pid="4" name="CustomServerURL">
    <vt:lpwstr/>
  </property>
  <property fmtid="{D5CDD505-2E9C-101B-9397-08002B2CF9AE}" pid="5" name="CustomUserId">
    <vt:lpwstr/>
  </property>
  <property fmtid="{D5CDD505-2E9C-101B-9397-08002B2CF9AE}" pid="6" name="MacrosVersion">
    <vt:lpwstr>1.3</vt:lpwstr>
  </property>
  <property fmtid="{D5CDD505-2E9C-101B-9397-08002B2CF9AE}" pid="7" name="CustomObjectState">
    <vt:lpwstr/>
  </property>
  <property fmtid="{D5CDD505-2E9C-101B-9397-08002B2CF9AE}" pid="8" name="MacrosDisabled">
    <vt:lpwstr/>
  </property>
  <property fmtid="{D5CDD505-2E9C-101B-9397-08002B2CF9AE}" pid="9" name="ConfirmationToolBarEnabled">
    <vt:lpwstr/>
  </property>
  <property fmtid="{D5CDD505-2E9C-101B-9397-08002B2CF9AE}" pid="10" name="localFileProperties">
    <vt:lpwstr/>
  </property>
  <property fmtid="{D5CDD505-2E9C-101B-9397-08002B2CF9AE}" pid="11" name="magic_key">
    <vt:lpwstr/>
  </property>
</Properties>
</file>