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1412"/>
        <w:ind w:left="567"/>
        <w:spacing w:before="0" w:after="0" w:line="240" w:lineRule="auto"/>
        <w:rPr>
          <w:rFonts w:ascii="Liberation Serif" w:hAnsi="Liberation Serif" w:cs="Liberation Serif"/>
          <w:sz w:val="22"/>
          <w:szCs w:val="22"/>
        </w:rPr>
      </w:pPr>
      <w:r/>
      <w:bookmarkStart w:id="0" w:name="_GoBack"/>
      <w:r/>
      <w:bookmarkEnd w:id="0"/>
      <w:r>
        <w:rPr>
          <w:rFonts w:ascii="Liberation Serif" w:hAnsi="Liberation Serif" w:eastAsia="Liberation Serif" w:cs="Liberation Serif"/>
          <w:sz w:val="22"/>
          <w:szCs w:val="22"/>
        </w:rPr>
        <w:t xml:space="preserve">Договор подряда №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2"/>
        <w:ind w:left="567"/>
        <w:spacing w:before="0"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на ремонтные работы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2"/>
        <w:ind w:left="567"/>
        <w:spacing w:before="0"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2"/>
        <w:ind w:left="567"/>
        <w:spacing w:before="0"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г. Печора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                                                            «___» ________ 202_ г.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left="180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709"/>
        <w:jc w:val="both"/>
        <w:shd w:val="clear" w:color="auto" w:fill="ffff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  <w:lang w:eastAsia="ru-RU"/>
        </w:rPr>
        <w:t xml:space="preserve">Акционерное общество «Интер РАО-Электрогенерация» 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(сокращенное наименование АО Интер РАО-Электрогенерация»), именуемое в дальнейшем </w:t>
      </w:r>
      <w:r>
        <w:rPr>
          <w:rFonts w:ascii="Liberation Serif" w:hAnsi="Liberation Serif" w:eastAsia="Liberation Serif" w:cs="Liberation Serif"/>
          <w:b/>
          <w:sz w:val="22"/>
          <w:szCs w:val="22"/>
          <w:lang w:eastAsia="ru-RU"/>
        </w:rPr>
        <w:t xml:space="preserve">«Заказчик»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, в лице Директора Филиала «Печорская ГРЭС» АО «Интер РАО – Электрогенерация» </w:t>
      </w:r>
      <w:r>
        <w:rPr>
          <w:rFonts w:ascii="Liberation Serif" w:hAnsi="Liberation Serif" w:eastAsia="Liberation Serif" w:cs="Liberation Serif"/>
          <w:bCs/>
          <w:sz w:val="22"/>
          <w:szCs w:val="22"/>
          <w:lang w:eastAsia="ru-RU"/>
        </w:rPr>
        <w:t xml:space="preserve">Спицына Сергея Геннадьевича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действующего на основании доверенности от ___ _________ 202_ года № _________, в целях обеспечения деятельности филиала «Печорская ГРЭС» АО «Интер РАО – Электрогенерация», с одной стороны и </w:t>
      </w: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  <w:lang w:eastAsia="ru-RU"/>
        </w:rPr>
        <w:t xml:space="preserve">___________________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  <w:lang w:eastAsia="ru-RU"/>
        </w:rPr>
        <w:t xml:space="preserve"> (сокращенное наименование ___________)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  <w:lang w:eastAsia="ru-RU"/>
        </w:rPr>
        <w:t xml:space="preserve">,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  <w:lang w:eastAsia="ru-RU"/>
        </w:rPr>
        <w:t xml:space="preserve"> именуемый в дальнейшем </w:t>
      </w: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  <w:lang w:eastAsia="ru-RU"/>
        </w:rPr>
        <w:t xml:space="preserve">«Подрядчик»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  <w:lang w:eastAsia="ru-RU"/>
        </w:rPr>
        <w:t xml:space="preserve">, с другой стороны, совместно именуемые «Стороны», заключили настоящий Договор о нижеследующем: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6"/>
        </w:numPr>
        <w:jc w:val="center"/>
        <w:shd w:val="clear" w:color="auto" w:fill="ffffff"/>
        <w:widowControl w:val="off"/>
        <w:tabs>
          <w:tab w:val="left" w:pos="360" w:leader="none"/>
        </w:tabs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Предмет Договора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10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Подрядчик обязуется в установленный настоящим Договором срок выполнить в соответствии с Техническим заданием (Приложение № 1), Локальным сметным расчетом (Приложение № 2) (далее по тексту «Смета», «Сметная документация»), следующую работу: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left" w:pos="851" w:leader="none"/>
        </w:tabs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- </w:t>
      </w: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  <w:lang w:eastAsia="ru-RU"/>
        </w:rPr>
        <w:t xml:space="preserve">Ремонт гидроизоляции защитного сооружения № 401 Филиала "Печорская ГРЭС" АО "Интер РАО - Электрогенерация"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left" w:pos="851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Подрядчик обязуется выполнить вышеуказанные Работы на Объекте, находящемся по адресу: 169600, Российская Федерация, Республика Коми, г. Печора, Филиал «Печорская ГРЭС» АО «Интер РАО-Электрогенерация» (далее – «Объект»).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1.2.  Заказчик в свою очередь обязуется принять результат Работ и уплатить обусловленную цену.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1.3. Подрядчик обязуется передать Заказчику результат Работы, соответствующий требованиям Заказчика, Технического задания и Сметной документации в сроки и на условиях, предусмотренных настоящим Договором и приложениями к нему.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1.4. Подрядчик гарантирует, что на дату подписания Договора и в течение всего времени его действия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1.4.1. Подрядчик выполнил все необходимые внут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ренние процедуры и согласования относительно заключения и исполнения Договора, а также иных связанных с ним сделок и иных юридических действий, включая получение всех необходимых решений органов управления, вышестоящих организаций, учредителей, участников.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1.4.2. Заключение и исполнение настоящего Договора не противоречит и не представляет собой нарушения какого-либо иного обязательства Подрядчика, вытекающего из сделки или иного основания.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1.4.3. Подрядчик является платежеспособным и состоятельным.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1.4.4. Подрядчик обладает всеми необход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имыми ресурсами, технологиями, деловыми связями, знаниями, навыками и умением, а также опытом в области технического обслуживания и ремонта основных производственных фондов энергетических объектов, необходимыми для успешного обслуживания и ремонта Объекта.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1.5.   Работы по настоящему Договору должны выполняться в соответст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вии с действующими на территории Российской Федерации нормативными документами по технической эксплуатации, охране труда, пожарной и промышленной безопасности в электроэнергетике, строительстве и иных областях, входящих в сферу влияния настоящего Договора.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numPr>
          <w:ilvl w:val="0"/>
          <w:numId w:val="6"/>
        </w:numPr>
        <w:jc w:val="center"/>
        <w:shd w:val="clear" w:color="auto" w:fill="ffffff"/>
        <w:widowControl w:val="off"/>
        <w:tabs>
          <w:tab w:val="left" w:pos="360" w:leader="none"/>
        </w:tabs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Сумма Договора (стоимость Работ)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/>
        <w:shd w:val="clear" w:color="auto" w:fill="ffff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2.1. Цена (Стоимость) подлежащих выполнению Работ по настоящему Договору определена в соответствии со сметной документацией и составляет 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_________ (________________) рублей __ копеек, в том числе НДС _______________ (______________) рублей __ копеек.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5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Цена (Стоимость) подлежащих выполнению Работ включает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стоимость поставки на Объект Заказчика и к месту монтажа (установки) всех необходимых материалов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(в том числе вспомогательных), стоимость погрузо-разгрузочных Работ, транспортных расходов, трудозатраты Подрядчика, командировочные расходы, расходы на страхование (указывается при необходимости), все налоги, стоимость всех ремонтных, демонтажных, монтаж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ных и пуско-наладочных Работ, прибыль Подрядчика, а также все издержки и риски Подрядчика, связанные с исполнением Работ по Договору и достижением их качества, предусмотренного настоящим Договором, требованиями Заказчика, строительными нормами и правилами.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Расчет сметной стоимости осуществляется в ПК "ГРАНД-Смета" в соответствии с требованиями,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приведенными в приложении № 10 к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5"/>
        </w:num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Общая сумма Договора (выполняемых Работ, оказываемых услуг) является предельной.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numPr>
          <w:ilvl w:val="1"/>
          <w:numId w:val="12"/>
        </w:numPr>
        <w:contextualSpacing/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В случае, если в процессе выполнения Работ по настоящему Договору возникает необходимость уточнения в пределах общей стоимости Договора перечня Работ, выполняемых в соответствии с ранее утвержденной сметой, оформляются следующие документы: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11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Ведомость дополнительных Работ по форме приложения 19 «Правил организации технического обслуживания и ремонта объектов электроэнергетики», утвержденных при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казом Минэнерго России от 25.10.2017г. № 1013» и Протоколы исключаемых Работ из смет по форме приложения 20 «Правил организации технического обслуживания и ремонта объектов электроэнергетики», утвержденных приказом Минэнерго России от 25.10.2017г. № 1013».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11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На основании подтвержденных ведомостей дополнител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ьных Работ и с учетом протоколов исключения Работ составляются Исполнительные сметы в пределах общей стоимости Работ. Исполнительная смета, с указанием даты ее составления, утверждается представителями Сторон и становиться неотъемлемой частью настоящего До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говора в качестве приложения с момента ее утверждения. Исполнительные сметы могут составляться на каждый вид/объем Работ, сумма всех исполнительных смет не может превышать общей стоимости Работ. При этом дополнительное соглашение к Договору не оформляется.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2.5. Подрядчик, обнаруживший в ходе выполнения Работ, не учтенные в Смете, Техническом задании и в иной документации, предоставленной Заказчиком, Работы, и, в связи с этим, необходимость п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роведения дополнительных Работ и увеличения цены (сметной стоимости) Работ, обязан сообщить об этом Заказчику. При согласии Заказчика на проведение и оплату дополнительных Работ Стороны заключают письменное дополнительное соглашение к настоящему Договору. 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При этом, Работы, которые не были прямо учтены в техническом задании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и Смете и/или не были предусмотрены Подрядчиком при подготовке проекта производства Работ и иной документации, необходимой для выполнения Работ по настоящему Договору, но их выполнение является обязательным в целях соблюдения технологической последовательн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ости выполнения Работ, порученных Подрядчику, и/или необходимость их выполнения вытекает из требований законодательства РФ, ведомственных нормативов, представленной Заказчиком Подрядчику документации (Техническое задание, решения, документация об Объекте,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ремонтная, технологическая и нормативно-техническая документация и т.д.), не признаются дополнительными и выполняются Подрядчиком за свой счет. Работы,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не предусмотренные Подрядчиком при подготовке проекта производства Работ, проектно-сметной документации и иной документации, необходимой для выполнения Работ по настоящему Договору, также не являются дополнительными и выполняются Подрядчиком за свой счет.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Расчет сметной стоимости для данных дополнительных работ осуществляется в ПК "ГРАНД-Смета" в соответствии с требованиями, приведенными в приложении № 10 к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5"/>
        </w:numPr>
        <w:jc w:val="center"/>
        <w:shd w:val="clear" w:color="auto" w:fill="ffffff"/>
        <w:widowControl w:val="off"/>
        <w:tabs>
          <w:tab w:val="left" w:pos="360" w:leader="none"/>
        </w:tabs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Порядок расчетов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3.1. Оплата по настоящему Договору осуществляется следующим образом: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3.1.1. Оплата выполняемых по настоящему Договору Работ осуществляется ежемесячно на основании подписанных Сторонами оригиналов Актов о приемке выполненных Работ (форма К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С-2), Справок о стоимости выполненных Работ и затрат (форма КС-3), а также выставленных Подрядчиком оригиналов счетов, (при необходимости – других расчетных документов) в течение 7 (семи) рабочих дней с момента подписания Актов о приемке выполненных Работ.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3.1.2. Подрядчик обязан предоставлять Заказчику счета-фактуры, оформленные в порядке и выставленные в сроки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, предусмотренные действующим законодательством Российской Федерации о налогах и сборах.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  <w:highlight w:val="none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3.1.3. Подрядчик обязан предоставлять Заказчику Акты выполненных работ, стоимость которых рассчитывается с использованием ПК "ГРАНД-Смета" в соответствии с требованиями, приведенными в приложении 10.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  <w:highlight w:val="none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bCs/>
          <w:sz w:val="22"/>
          <w:szCs w:val="22"/>
          <w:highlight w:val="none"/>
        </w:rPr>
        <w:t xml:space="preserve">3.1.4. </w:t>
      </w:r>
      <w:r>
        <w:rPr>
          <w:rFonts w:ascii="Liberation Serif" w:hAnsi="Liberation Serif" w:cs="Liberation Serif"/>
          <w:bCs/>
          <w:sz w:val="22"/>
          <w:szCs w:val="22"/>
          <w:highlight w:val="none"/>
        </w:rPr>
        <w:t xml:space="preserve">Расчеты по настоящему Договору производятся в рублях Российской Федерации. Датой осуществления платежа признается дата списания денежных средств с расчетного счета Заказчика.</w:t>
      </w:r>
      <w:r>
        <w:rPr>
          <w:rFonts w:ascii="Liberation Serif" w:hAnsi="Liberation Serif" w:cs="Liberation Serif"/>
          <w:bCs/>
          <w:sz w:val="22"/>
          <w:szCs w:val="22"/>
          <w:highlight w:val="none"/>
        </w:rPr>
      </w:r>
      <w:r>
        <w:rPr>
          <w:rFonts w:ascii="Liberation Serif" w:hAnsi="Liberation Serif" w:cs="Liberation Serif"/>
          <w:bCs/>
          <w:sz w:val="22"/>
          <w:szCs w:val="22"/>
          <w:highlight w:val="none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3.2. В случае возникновения претензий Заказчика в отношении качества выполненных Работ, и правильности оформления первичной и отчетной документации исполнение обязательства по оплате выполненных Работ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и окончательной оплате со стороны Заказчика приостанавливается на период с момента обнаружения вышеуказанных нарушений и до момента их устранения Подрядчиком. При этом Заказчик не несет ответственности за задержку оплаты за выполненные Работы, а Подрядчик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в данном случае не имеет права ссылаться на такую задержку платежей как на основание для отставания от сроков выполнения Работ, согласованных Сторонами.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3.3.     Затраты, связанные с выездом ремонтного персонала (командировочные расходы, стоимость проезда, пров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оз инструментов, приспособлений и т.д.) Подрядчик должен учесть в Сметной документации. Возмещение вышеуказанных затрат Заказчиком Подрядчику осуществляется после предоставления реестра возмещаемых расходов (в т.ч. командировочных) и копий, подтверждающих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расходы документов, заверенных печатью организации Подрядчика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.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При этом общая сумма Договора не является фиксированной, а затраты, связанные с выездом ремонтного персонала, не могут превышать сумм, отраженных в сметной документации.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Возмещение затрат, связанных с выездом ремонтного персонала включено в Цену (Стоимость) подлежащих выполнению Работ по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Сметная документация должна быть подготовлена в ПК "ГРАНД-Смета" в соответствии с требованиями, приведенными в приложении № 10 к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3.4. Подрядчик не позднее 5 числа месяца, следующего за отчетным кварталом, направляет в адрес Заказчика, оформленный со с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воей стороны акт сверки. Заказчик в течение 5 календарных дней с момента получения акта сверки, производит сверку расчетов между Сторонами, при необходимости оформляет протокол разногласий и возвращает Подрядчику один экземпляр надлежаще оформленного акта.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pStyle w:val="1431"/>
        <w:ind w:left="360"/>
        <w:shd w:val="clear" w:color="auto" w:fill="ffff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pStyle w:val="1431"/>
        <w:numPr>
          <w:ilvl w:val="0"/>
          <w:numId w:val="5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Срок действия Договора и выполнения Работ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4"/>
        </w:num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Настоящий Договор вступает в силу с момента подписания его Сторонами и действует до полного исполнения Сторонами своих обязательств.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4.2. Сроки выполнения Работ по настоящему Договору: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Срок начала выполнения работ – с момента заключения договора, но не позднее 01.03.2027г.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tabs>
          <w:tab w:val="left" w:pos="567" w:leader="none"/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Окончание выполнения работ – не позднее 30.11.2027г.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4.3. В случае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возникновения аварийных ситуа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ций на Объекте (в местах проведения Работ), во изменение согласованного плана-графика Работ, Заказчик вправе привлекать Подрядчика к выполнению неплановых (аварийных) ремонтных Работ, о чем сторонами подписывается соответствующее дополнительное соглашение.</w:t>
      </w:r>
      <w:r>
        <w:rPr>
          <w:rFonts w:ascii="Liberation Serif" w:hAnsi="Liberation Serif" w:cs="Liberation Serif"/>
          <w:bCs/>
          <w:sz w:val="22"/>
          <w:szCs w:val="22"/>
        </w:rPr>
      </w:r>
      <w:r>
        <w:rPr>
          <w:rFonts w:ascii="Liberation Serif" w:hAnsi="Liberation Serif" w:cs="Liberation Serif"/>
          <w:bCs/>
          <w:sz w:val="22"/>
          <w:szCs w:val="22"/>
        </w:rPr>
      </w:r>
    </w:p>
    <w:p>
      <w:pPr>
        <w:pStyle w:val="1431"/>
        <w:numPr>
          <w:ilvl w:val="0"/>
          <w:numId w:val="4"/>
        </w:numPr>
        <w:jc w:val="center"/>
        <w:widowControl w:val="off"/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Порядок и условия производства Работ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jc w:val="both"/>
        <w:spacing w:after="0" w:line="240" w:lineRule="auto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5.1. Об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еспечение Работ МТР (материально-техническими ресурсами), которые включают в себя все материалы, конструкции, в том числе специальные и другие материалы, необходимые для выполнения Подрядчиком Работ по настоящему Договору, осуществляется следующим образом: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Обеспечение Работ МТР (материально-технические ресурсы) осуществляет Подрядчик в соответствии с Техническим заданием Заказчика (Приложение № 1).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3"/>
        </w:numPr>
        <w:ind w:left="0" w:firstLine="0"/>
        <w:jc w:val="both"/>
        <w:spacing w:after="0" w:line="240" w:lineRule="auto"/>
        <w:tabs>
          <w:tab w:val="left" w:pos="720" w:leader="none"/>
          <w:tab w:val="left" w:pos="108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Подрядчик несет ответственность за качество предоставляемых МТР, их соответствие установленным для данного вида Работ требованиям, а также за наличие сертифи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катов, технических паспортов, актов и протоколов, подтверждающих проведение необходимых испытаний, и других документов, подтверждающих качество поставляемых материалов, их пожаробезопасность и иные свойства, необходимые для нормальной эксплуатации Объекта.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3"/>
        </w:numPr>
        <w:ind w:left="0" w:firstLine="0"/>
        <w:jc w:val="both"/>
        <w:spacing w:after="0" w:line="240" w:lineRule="auto"/>
        <w:tabs>
          <w:tab w:val="num" w:pos="142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В случае предоставления материалов Заказчиком, качеств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о предоставляемых материалов также должно быть подтверждено сертификатами соответствия. Материалы Заказчика передаются по накладной унифицированной формы М-15, утвержденной у Заказчика (далее — форма М-15). По окончании выполнения Работ, Подрядчик обязуетс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я вернуть неизрасходованный остаток материалов на склад Заказчика, не позднее, чем в десятидневный срок с даты подписания Сторонами итоговых акта о приемке выполненных работ по форме № КС-2 и справки о стоимости выполненных работ и затрат по форме № КС-3. 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2"/>
          <w:numId w:val="13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Погрузка и разгрузка МТР, (в том числе на складе Заказчика), а также их доставка до места выполнения Работ производится Подрядчиком.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5"/>
        </w:numPr>
        <w:ind w:left="0" w:firstLine="0"/>
        <w:jc w:val="both"/>
        <w:spacing w:after="0" w:line="240" w:lineRule="auto"/>
        <w:tabs>
          <w:tab w:val="num" w:pos="0" w:leader="none"/>
          <w:tab w:val="clear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несет ответственность за утрату, порчу или снижение потребительских свойств МТР.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2"/>
          <w:numId w:val="15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принимает меры по обеспечению сохранности предоставленных ему для выполнения Р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абот материалов и иного имущества Заказчика, соблюдения правил противопожарной безопасности, правил промышленной безопасности, правил техники безопасности, иные меры, которые в конкретной ситуации предпринял бы квалифицированный и добросовестный подрядчик.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2"/>
          <w:numId w:val="15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Возможность замены материалов, запасных частей, предусмотренных Техническим заданием Заказчика, Сметой, ранее утвержденными проектными решениями и иными документами, согласовывается с Заказчиком оформлением Актов по форме 24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«Правил организации технического обслуживания и ремонта объектов электроэнергетики», утвержденных приказом Минэнерго России от 25.10.2017г. № 1013»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, в случае необходимости – контролирующими органами и организациями.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2"/>
          <w:numId w:val="15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 целях обеспечения экономической эффективности закупок и соблюдения сроков поставки материалов, запасных частей на Объект Заказчик вправе потребовать от Подрядчика, а Подрядчик в данном случае обязан: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16"/>
        </w:numPr>
        <w:ind w:left="0" w:firstLine="0"/>
        <w:jc w:val="both"/>
        <w:spacing w:after="0" w:line="240" w:lineRule="auto"/>
        <w:tabs>
          <w:tab w:val="left" w:pos="36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согласовать в разумный срок предложение на закупку материалов (запасных частей) с предоставлением данных об объеме и стоимости материалов (запасных частей) до их приобретения Подрядчиком;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16"/>
        </w:numPr>
        <w:ind w:left="0" w:firstLine="0"/>
        <w:jc w:val="both"/>
        <w:spacing w:after="0" w:line="240" w:lineRule="auto"/>
        <w:tabs>
          <w:tab w:val="left" w:pos="36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предоставить документы, подтверждающие своевременность поставки материалов, запасных частей, необходимых для выполнения Работ (вида Работ) по Договору;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16"/>
        </w:numPr>
        <w:ind w:left="0" w:firstLine="0"/>
        <w:jc w:val="both"/>
        <w:spacing w:after="0" w:line="240" w:lineRule="auto"/>
        <w:tabs>
          <w:tab w:val="left" w:pos="36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осуществить закупку материалов (запасных частей) у организации-поставщика, выбранного и/или одобренного Заказчиком.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5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Все погрузочно-разгрузочные, землеройные и другие работы, в том числе с применением специального автотранспорта (автокранов, автогидроподъемников, экскаваторов и т.д.) выполняет Подрядчик своими силами и за свой счет.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15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Транспортное обеспечение.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numPr>
          <w:ilvl w:val="2"/>
          <w:numId w:val="18"/>
        </w:numPr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Подрядчик самостоятельно выполняет транспортное обеспечение Работ, в том числе: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1"/>
        </w:numPr>
        <w:ind w:left="540" w:hanging="54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доставку персонала на Объект и обратно;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1"/>
        </w:numPr>
        <w:ind w:left="540" w:hanging="54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перевозку и доставку материалов (в том числе вспомогательных), а также материалов со склада Заказчика на Объект;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1"/>
        </w:numPr>
        <w:ind w:left="540" w:hanging="54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вывоз мусора и невостребованных материалов, образовавшихся в ходе Работ по Договору;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1"/>
        </w:numPr>
        <w:ind w:left="540" w:hanging="540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вывоз невостребованных материалов, образовавшихся в ходе Работ по Договору на склад Заказчика.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Во время транспортировки материалов, деталей оборудования и запасных частей ответственность за сохранность перевозимого груза несет Подрядчик.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18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Транспортное обеспечение неотложных и аварий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ных Работ (доставка персонала Подрядчика и необходимых материалов), осуществляется Подрядчиком с последующей оплатой документально подтвержденных расходов Подрядчика Заказчиком из расчета единичных расценок, согласованных Сторонами в Сметной документации. 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18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Энергоснабжение и другие ресурсы.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numPr>
          <w:ilvl w:val="2"/>
          <w:numId w:val="18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 целях выполнения Работ по настоящему Договору Заказчик предоставляет Подрядчику имеющиеся у него на Объекте стационарные точки подключения сжатого воздуха, технической воды, канализации, электроэнергии, электросварки и терм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ообработки сварных соединений (Ресурсы Заказчика). Подключение к указанным сетям и коммуникациям Подрядчик осуществляет самостоятельно, по согласованию с Заказчиком в соответствии с выданным Заказчиком техническими условиями на подключение /присоединение. 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19"/>
        </w:numPr>
        <w:jc w:val="both"/>
        <w:spacing w:after="0" w:line="240" w:lineRule="auto"/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Освещение рабочих мест.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numPr>
          <w:ilvl w:val="2"/>
          <w:numId w:val="17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Заказчик обеспечивает общее освещение ремонтных площадок. Местное освещение рабочих мест выполняет Подрядчик.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17"/>
        </w:numPr>
        <w:ind w:left="0" w:firstLine="0"/>
        <w:jc w:val="both"/>
        <w:spacing w:after="0" w:line="240" w:lineRule="auto"/>
        <w:tabs>
          <w:tab w:val="left" w:pos="720" w:leader="none"/>
        </w:tabs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Оперативная связь.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numPr>
          <w:ilvl w:val="2"/>
          <w:numId w:val="20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На п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ериод проведения Работ Подрядчик за свой счет, обеспечивает свой персонал средствами связи, в том числе средствами оперативной связи (радиостанциями). Количество, тип и частоту, используемых радиостанций Подрядчик предварительно согласовывает с Заказчиком.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0"/>
        </w:numPr>
        <w:ind w:left="0" w:firstLine="0"/>
        <w:jc w:val="both"/>
        <w:spacing w:after="0" w:line="240" w:lineRule="auto"/>
        <w:tabs>
          <w:tab w:val="left" w:pos="540" w:leader="none"/>
        </w:tabs>
        <w:rPr>
          <w:rFonts w:ascii="Liberation Serif" w:hAnsi="Liberation Serif" w:cs="Liberation Serif"/>
          <w:i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Устройство лесов и подмостей. </w:t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</w:p>
    <w:p>
      <w:pPr>
        <w:numPr>
          <w:ilvl w:val="2"/>
          <w:numId w:val="20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Устройство лесов и подмостей (включая поставку необходимых для этого материалов) выполняет Подрядчик.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2"/>
        </w:numPr>
        <w:ind w:left="720" w:hanging="720"/>
        <w:jc w:val="both"/>
        <w:spacing w:after="0" w:line="240" w:lineRule="auto"/>
        <w:tabs>
          <w:tab w:val="left" w:pos="720" w:leader="none"/>
        </w:tabs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Обеспечение Работ ремонтной, технологической и НТД (нормативно-техническая документация).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pStyle w:val="1431"/>
        <w:numPr>
          <w:ilvl w:val="2"/>
          <w:numId w:val="22"/>
        </w:numPr>
        <w:ind w:left="0" w:firstLine="0"/>
        <w:jc w:val="both"/>
        <w:spacing w:line="240" w:lineRule="auto"/>
        <w:tabs>
          <w:tab w:val="num" w:pos="0" w:leader="none"/>
          <w:tab w:val="clear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Стороны при исполнении Договора руководствуются обязательными требованиями Правил организации технического обс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луживания и ремонта объектов электроэнергетики, утвержденных приказом Минэнерго России №1013 от 25.10.2017 (далее — Правила ТОиР), и других нормативных правовых актов. Соблюдение требований Правил организации технического обслуживания и ремонта оборудовани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я, зданий, сооружений электростанций и сетей СО 34.04 – 181, утвержденных РАО "ЕЭС России" 25 декабря 2003 г. (далее - СО 34.04 – 181), является для Сторон обязательным в части, не противоречащей указанным Правилам ТОиР и другим нормативным правовым актам.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2"/>
          <w:numId w:val="22"/>
        </w:numPr>
        <w:ind w:left="0" w:firstLine="0"/>
        <w:jc w:val="both"/>
        <w:spacing w:after="0" w:line="240" w:lineRule="auto"/>
        <w:tabs>
          <w:tab w:val="num" w:pos="0" w:leader="none"/>
          <w:tab w:val="clear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Заказчик передает Подрядчику имеющуюся у него ремонтную, проектно-конструкторскую и другие необходимые для выполнения Работ документы. В случае отсутствия какой-либо документации, необходимо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й для выполнения Работ, Подрядчик по указанию Заказчика обеспечивает ее подготовку и согласовывает ее с Заказчиком до начала выполнения вида Работ за отдельную плату по дополнительному соглашению Сторон, кроме случаев, указанных в абзаце 2 п. 2.5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2"/>
          <w:numId w:val="22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 окончании Работ, но не позднее даты предоста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вления Актов о приемке выполненных Работ (форма КС-2), Справок о стоимости выполненных Работ и затрат (форма КС-3) за последний отчетный месяц, Подрядчик возвращает Заказчику полученную от него ремонтную и иную, указанную в п. 5.7.2 Договора, документацию.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2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Обеспечение помещениями.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numPr>
          <w:ilvl w:val="2"/>
          <w:numId w:val="22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Заказчик по 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озможности предоставляет Подрядчику на своей территории помещения для хранения инвентаря и материалов, бытовые помещения. Вышеуказанные помещения предоставляются Заказчиком Подрядчику с подписанием Сторонами Акта сдачи-приемки помещений по договору аренды.</w:t>
      </w:r>
      <w:r>
        <w:rPr>
          <w:rFonts w:ascii="Liberation Serif" w:hAnsi="Liberation Serif" w:eastAsia="Liberation Serif" w:cs="Liberation Serif"/>
          <w:i/>
          <w:sz w:val="22"/>
          <w:szCs w:val="22"/>
        </w:rPr>
        <w:t xml:space="preserve"> </w:t>
      </w:r>
      <w:r>
        <w:rPr>
          <w:rFonts w:ascii="Liberation Serif" w:hAnsi="Liberation Serif" w:cs="Liberation Serif"/>
          <w:i/>
          <w:sz w:val="22"/>
          <w:szCs w:val="22"/>
        </w:rPr>
      </w:r>
      <w:r>
        <w:rPr>
          <w:rFonts w:ascii="Liberation Serif" w:hAnsi="Liberation Serif" w:cs="Liberation Serif"/>
          <w:i/>
          <w:sz w:val="22"/>
          <w:szCs w:val="22"/>
        </w:rPr>
      </w:r>
    </w:p>
    <w:p>
      <w:pPr>
        <w:numPr>
          <w:ilvl w:val="2"/>
          <w:numId w:val="22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самостоятельно организует ежедневную уборку предоставленных ему помещений, обеспечивает их пожарную безопасность, а также комплектует их первичными средствами пожаротушения в соответствии с действующими нормами.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0"/>
          <w:numId w:val="22"/>
        </w:numPr>
        <w:jc w:val="center"/>
        <w:keepNext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Обязанности Подрядчика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hd w:val="clear" w:color="auto" w:fill="ffffff"/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Подрядчик обязуется: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numPr>
          <w:ilvl w:val="1"/>
          <w:numId w:val="23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Выполнить своими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или привлеченными силами все Работы в объеме и сроки, предусмотренные настоящим Договором и Сметной документацией, сдать результат Работ Заказчику в состоянии, позволяющем нормальную эксплуатацию Объекта и результата Работ. Состояние отремонтированного об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орудования должно соответствовать требованиям нормативно-технической документации на ремонт в течение установленных сроков и обеспечить наработку с момента включения под нагрузку при соблюдении Заказчиком правил транспортирования, хранения и эксплуатации. </w:t>
      </w:r>
      <w:r>
        <w:rPr>
          <w:rFonts w:ascii="Liberation Serif" w:hAnsi="Liberation Serif" w:cs="Liberation Serif"/>
          <w:i/>
          <w:sz w:val="22"/>
          <w:szCs w:val="22"/>
        </w:rPr>
      </w:r>
      <w:r>
        <w:rPr>
          <w:rFonts w:ascii="Liberation Serif" w:hAnsi="Liberation Serif" w:cs="Liberation Serif"/>
          <w:i/>
          <w:sz w:val="22"/>
          <w:szCs w:val="22"/>
        </w:rPr>
      </w:r>
    </w:p>
    <w:p>
      <w:pPr>
        <w:numPr>
          <w:ilvl w:val="1"/>
          <w:numId w:val="23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Назначит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ь приказом в течение 10 календарных дней после подписания настоящего Договора своего представителя, уполномоченного выступать от имени Подрядчика по техническим вопросам, касающимся исполнения настоящего Договора (далее – Представитель Подрядчика). Любые у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казания или решения, принятые Представителем Подрядчика, считаются действительными и данными от имени Подрядчика. Подрядчик имеет право заменить своего Представителя, направив письменное уведомление Заказчику не позднее, чем за 20 дней до указанной замены.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3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Обеспечить присутствие на Объекте во время проведения Работ своего ответственного представителя (инженерно-технический работник). Данный представитель обязан незамедлительно в письменном виде сообщить Заказчику о выявленных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им случаях отклонения при выполнении Работ от принятых проектных решений, требований Технического задания Заказчика, СНиП, ГОСТ, ТУ и т.д. Отсутствие таких замечаний лишает Подрядчика права ссылаться на факт известности Заказчику о каких-либо недостатках.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3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Не позднее 5 дней с даты заключения Договора Подрядчик обязан выдать Заказчику подтверждение в письменной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форме за подписью уполномоченного лица о том, что Подрядчик обладает всей необходимой проектной, ремонтной и технической документацией для выполнения Работ по Договору, которая соответствует предъявляемым требованиям (по форме приложения к № 6 к Договору).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4"/>
        </w:num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color w:val="auto"/>
          <w:sz w:val="22"/>
          <w:szCs w:val="22"/>
        </w:rPr>
        <w:t xml:space="preserve">обеспечить:</w:t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  <w:r>
        <w:rPr>
          <w:rFonts w:ascii="Liberation Serif" w:hAnsi="Liberation Serif" w:cs="Liberation Serif"/>
          <w:b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производство Работ в полном соответствии с Договором, Техническим заданием, Сметой, рабочими чертежами (утвержденной про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ектной, технической и Сметной документацией), действующей нормативно-технической документацией, нормами и правилами, государственными и отраслевыми стандартами РФ, положениями Министерства энергетики РФ, документами органов государственного надзора, и др.;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поставку на Объект необходимых для производства Работ материалов;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наличие у персонала (специалистов) Подрядчика необходимых инструментов, приборов, оборудования, оснастки, средств индивидуальной защиты;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устройство всех необходимых временных сооружений для выполнения Работ (сроков Работ/видов Работ);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устранение в сроки, согласованные с Заказчиком, недостатков и дефектов, выявленных при приемке Работ и в течение гарантийного срока эксплуатации результата выполненных Работ;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бесперебойное функционирование инженерных систем и оборудования при нормальной эксплуатации Объекта в течение гарантийного срока;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2"/>
          <w:numId w:val="24"/>
        </w:numPr>
        <w:ind w:left="0" w:firstLine="0"/>
        <w:jc w:val="both"/>
        <w:spacing w:after="0" w:line="240" w:lineRule="auto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порядок и чистоту на Объекте и конкретных местах производства Работ, хранить строительный мусор в предназначенных для этого емкостях, не допуская большого скопления.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Согласовать с Заказчиком порядок ведения Работ на Объекте и обеспечить соблюдение его на производственной площадке и в местах производства Работ;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Представлять Заказчику необходимые для выполнения Работ лицензии, сертификаты, Свидетельства о допуске, аттестаты, аккредитации и разрешения государственных и надзорных органов, позволяющих выполнять Работы в рамках настоящего Договора.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i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При необходимости и по указанию Заказчика разработать проектно-сметную документацию на выполнение ремонтно-строительных Работ, согласовать ее с Заказчиком. Подготовить и согласовать с Заказчиком графики выполнения Работ на Объ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екте. Графики выполнения Работ должны быть выполнены в программе MS Project, содержать связи между операциями, выделенный критический путь ремонта. В колонке «Ресурсы» для каждой операции должна быть указана численность персонала, выполняющего эту операцию</w:t>
      </w:r>
      <w:r>
        <w:rPr>
          <w:rFonts w:ascii="Liberation Serif" w:hAnsi="Liberation Serif" w:eastAsia="Liberation Serif" w:cs="Liberation Serif"/>
          <w:i/>
          <w:color w:val="auto"/>
          <w:sz w:val="22"/>
          <w:szCs w:val="22"/>
        </w:rPr>
        <w:t xml:space="preserve">.</w:t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Уведомлять Заказчика в письменной форме о необходимости проведения приемк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и скрытых видов Работ. Уведомление направляется заблаговременно, но не позднее, чем за 3 (три) рабочих дня до начала проведения этой приемки. Никакие подлежащие закрытию Работы не могут быть закрыты Подрядчиком без предъявления их Заказчику и без оформлени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я соответствующих Актов. В случае невыполнения вышеуказанного требования Подрядчик, по указанию Заказчика, обязан открыть любую часть скрытых видов Работ для их освидетельствования, а затем произвести всю необходимую восстановительную работу, за свой счет.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Незамедлительно извещать представителя Заказчика об обстоятельствах, угрожающих надежности и качеству результатов выполнения Работ, и соблюдению сроков выполнения Работ.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Подготовку к применению и хранение материалов (запасных частей) производить за пределами рабочей зоны, самостоятельно осуществлять их транспортировку и доставку к месту Работ подготовленными к применению.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Нести риск случайной гибели или случайного повреждения материалов</w:t>
      </w:r>
      <w:r>
        <w:rPr>
          <w:rFonts w:ascii="Liberation Serif" w:hAnsi="Liberation Serif" w:eastAsia="Liberation Serif" w:cs="Liberation Serif"/>
          <w:i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и результата выполненных Работ до окончательной приемки Работ Заказчиком и подписания Сторонами акта о приемке выполненных работ по форме № КС-2.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Предоставить Заказчику не позднее, чем за 2 (два) календарных дня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до предъявления к сдаче выполненных Работ (сроков Работ/видов Работ) исполнительную документацию на выполнение Работы в 2-х (двух) экземплярах: Ведомость выполненных работ по ремонту; Протоколы технических решений по выявленным, но не устраненным дефектам;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сертификаты на использованные в процессе ремонта материалы и запасные части; Акты на скрытые работы, в том числе технические паспорта, сертификаты качества и соответствия и другие документы по согласованию электростанции и предприятия-исполнителя ремонта.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4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Акты на скрытые работы, в том числе технические паспорта, сертификаты качества и соответствия и иные документы.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6.14. Обеспечить численность ремонтного персонала Подрядчика и привлеченных им субподрядчиков не ниже минимальной численности, рассчитанной на основании трудозатрат, определе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нных по сметной документации, и сроков проведения ремонта, или согласовать с Заказчиком иную численность, обосновав причины снижения относительно численности ремонтного персонала, рассчитанной на основании трудозатрат, определенных по сметной документации.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6.15. Предоставить Заказчику перечень персонала, задействованного при выполнении обязательств Подрядчика по Договору, подготовленного в соответствии с п. 6.14 настоящего Договора и п. 81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Правил организации технического обслуживания и ремонта объектов электроэнергетики, утвержденных приказом Минэнерго России от 25.10.2017г. № 1013,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с указанием ФИО, квалификации и профессий, и обеспечивать контроль численн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ости и квалификационного состава персонала Подрядчика и привлеченных им субподрядчиков в течение всего срока выполнения работ путем еженедельного предоставления Заказчику акта о фактической численности персонала Подрядчика и привлеченных им субподрядчиков.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6.16. Персонал Подрядчика должен быть аттестован согласно «Правил безопаснос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ти при работе с инструментом и приспособлениями»; «Межотраслевых правил по охране труда при работе на высоте» ПОТ РМ-012-2000; «Правил техники безопасности при эксплуатации тепломеханического оборудования электростанций и тепловых сетей» РД 34.03.201-97; «</w:t>
      </w:r>
      <w:r>
        <w:rPr>
          <w:rFonts w:ascii="Liberation Serif" w:hAnsi="Liberation Serif" w:eastAsia="Liberation Serif" w:cs="Liberation Serif"/>
          <w:bCs/>
          <w:sz w:val="22"/>
          <w:szCs w:val="22"/>
          <w:lang w:eastAsia="ru-RU"/>
        </w:rPr>
        <w:t xml:space="preserve">Правил по охране труда при эксплуатации электроустановок» (утвержденных приказом Министерства труда и социальной защиты Российской Федерации от 24 июля 2013 года № 328н)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; «Правил пожарной безопасности для энергетических предприятий»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, ВППБ 01-02-95*; иметь право допуска к выполнению соответствующих Работ, в том числе верхолазных работ; иметь необходимое медицинское освидетельствование, удостоверения согласно требованиям «Правил работы с персоналом в организациях электроэнергетики РФ».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           Подрядчик также обязан обеспечить наличие указанных в настоящем пункте документов /допусков у работников привлекаемых им к работам по настоящему Договору субподрядчиков. Заказчик вправе потребовать у Под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рядчика, а Подрядчик обязан предоставить Заказчику для проверки указанные документы работников Подрядчика и субподрядчиков. При отсутствии необходимых документов Заказчик вправе потребовать у Подрядчика отстранения от работы на объектах Заказчика лиц, в от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ношении которых не предоставлены такие документы, а Подрядчик обязан исполнить соответствующее требование Заказчика. При этом Подрядчик не вправе ссылаться на данные действия Заказчика в обоснование нарушения сроков выполнения работ по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6.17. Исполнять указания Заказчика в отношении форм, сроков предоставления и содержания отчетности.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6.18. По требованию Заказчика и в указанные им сроки представлять информацию, подтверждающую целевое расходование денежных средств, перечисленных Заказчиком в качестве авансовых платежей.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6.19. При выполнении Работ соблюдать требования правил производства Работ, внутреннего распорядка, пропускного и внутриобъектового режима на Объекте, установ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ленного Заказчиком, техники безопасности, пожарной безопасности, а также нести ответственность за их ненадлежащее выполнение. Подрядчик обязан по требованию Заказчика заменить персонал, нарушающий вышеуказанные требования в сроки, установленные Заказчиком.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20. Не допускать к Работе (отстранить от работы) работников Подрядчика (а в случае привлечения субподрядных организаций и работников Субподрядчика), появившихся на рабочем месте (объекте) в состоянии алкогольного, наркотического или токсического опьянения.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6.21. Своими силами и за свой счет не позднее, чем за 2 (два) рабочих дня до сдачи выполненных Работ в полном объеме Заказчику вывезти за пределы территории, на которой пров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одились Работы, принадлежащие Подрядчику строительные машины и оборудование, транспортные средства, инструменты, приборы, инвентарь, строительные материалы, изделия, конструкции, временные здания и сооружения и другое имущество, а также строительный мусор.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6.22. Получать письменное согласие Заказчика на уступку, передачу, перепоручение прав (требований) и/или обязанностей Подрядчика по Договору, а также по дополнительным соглашениям, заключенным в рамках Договора, третьему лицу.   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ind w:left="360"/>
        <w:jc w:val="both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hd w:val="clear" w:color="auto" w:fill="ffff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7.    Права и Обязанности Заказчика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hd w:val="clear" w:color="auto" w:fill="ffffff"/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Заказчик обязуется: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numPr>
          <w:ilvl w:val="1"/>
          <w:numId w:val="25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Обеспечить готовность Объектов для выполнения Работ, предусмотренных положениями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5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Осуществлять технический надзор за выполнением Работ самостоятельно или посредством привлечения сторонней организации.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5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Предоставить Подрядчику на основании письменного запроса техническую документацию, необходимую для разработки ППР, за 30 дней до начала Работ. </w:t>
      </w:r>
      <w:r>
        <w:rPr>
          <w:rFonts w:ascii="Liberation Serif" w:hAnsi="Liberation Serif" w:cs="Liberation Serif"/>
          <w:i/>
          <w:sz w:val="22"/>
          <w:szCs w:val="22"/>
        </w:rPr>
      </w:r>
      <w:r>
        <w:rPr>
          <w:rFonts w:ascii="Liberation Serif" w:hAnsi="Liberation Serif" w:cs="Liberation Serif"/>
          <w:i/>
          <w:sz w:val="22"/>
          <w:szCs w:val="22"/>
        </w:rPr>
      </w:r>
    </w:p>
    <w:p>
      <w:pPr>
        <w:numPr>
          <w:ilvl w:val="1"/>
          <w:numId w:val="25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Производить допуск Подрядчика и его субподрядных организаций на Объект (к местам производства Работ) для выполнения обязательств, принятых по настоящему Договору, в соответствии с правилами внутри объектового режима, действующих на Объекте Заказчика.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7.5. Назначить своего представител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я, уполномоченного выступать от имени Заказчика по всем вопросам, касающимся исполнения технической части настоящего Договора (далее – Представитель Заказчика). Заказчик имеет право заменить своего Представителя, направив письменное уведомление Подрядчику.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7.6.  Оплатить выполненные Работы в порядке и сроки, предусмотренные настоящим Договором.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7.7.  Проводить с Подрядчиком освидетельствование скрытых Работ, своевременно осуществлять приемку выполненных Работ, в разумные сроки рассматривать обращения и требования Подрядчика.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b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sz w:val="22"/>
          <w:szCs w:val="22"/>
        </w:rPr>
        <w:t xml:space="preserve">7.8. Заказчик вправе:</w:t>
      </w:r>
      <w:r>
        <w:rPr>
          <w:rFonts w:ascii="Liberation Serif" w:hAnsi="Liberation Serif" w:cs="Liberation Serif"/>
          <w:b/>
          <w:sz w:val="22"/>
          <w:szCs w:val="22"/>
        </w:rPr>
      </w:r>
      <w:r>
        <w:rPr>
          <w:rFonts w:ascii="Liberation Serif" w:hAnsi="Liberation Serif" w:cs="Liberation Serif"/>
          <w:b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7.8.1. Заказчик (Представитель Заказчика) вправе прове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рять в любое время ход и качество выполнения Работ Подрядчиком, не вмешиваясь в его деятельность. При обнаружении нарушений, недостатков и/или замечаний Заказчик вправе в любое время приостановить Работы и потребовать устранения нарушений, недостатков и/ил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и замечаний и выполнения Работ в соответствии с условиями настоящего Договора. В данном случае Подрядчик не имеет права ссылаться на такую приостановку Работ как на основание для перенесения сроков производства Работ (сроков Работ/видов Работ) по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7.8.2. Заказчик (Представитель Заказчика) вправе производить проверки и досмотр всех транспортных средств, вещей и материалов, доставля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емых на рабочую площадку и покидающих Объект. Если в результате подобного досмотра при ввозе будут обнаружены запрещенные вещества, то транспортное средство не допускается на рабочую площадку, работник (и) Подрядчика не допускается (ются) на рабочее место.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7.8.3. При отказе Подрядчика устранить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выявленные Заказчиком недостатки в процессе выполнения Работ, а равно при невыполнении Подрядчиком требований Заказчика, при наличии у Заказчика объективной уверенности, что Работы/часть Работ не будет выполнена и/или дефекты не будут устранены Подрядчиком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в срок и надлежащим образом, Заказчик вправе привлечь на выполнение Работ (части Работ) /устранение дефектов третьих лиц при условии письменного уведомления об этом Подрядчика. В этом случае Заказчик предъявляет требование Подрядчику о возмещении произвед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енных расходов с приложением подтверждающих документов. При неудовлетворении Подрядчиком данного требования в течение 30 дней с момента его предъявления Заказчик возмещает понесенные расходы на устранение недостатков в счет предстоящих платежей Подрядчику.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7.8.4. Заказчик имеет право в любое время направлять своих представителей на завод/склад/ Подрядчика, строительную площадку для участия в проведении контроля: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540"/>
        <w:jc w:val="both"/>
        <w:spacing w:after="0" w:line="240" w:lineRule="auto"/>
        <w:tabs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применяемых материалов;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540"/>
        <w:jc w:val="both"/>
        <w:spacing w:after="0" w:line="240" w:lineRule="auto"/>
        <w:tabs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процесса изготовления материалов Подрядчика;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540"/>
        <w:jc w:val="both"/>
        <w:spacing w:after="0" w:line="240" w:lineRule="auto"/>
        <w:tabs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упаковки и маркировки, качества материалов Подрядчика;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540"/>
        <w:jc w:val="both"/>
        <w:spacing w:after="0" w:line="240" w:lineRule="auto"/>
        <w:tabs>
          <w:tab w:val="left" w:pos="720" w:leader="none"/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соответствия материалов Подрядчика условиям Договора.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540"/>
        <w:jc w:val="both"/>
        <w:spacing w:after="0" w:line="240" w:lineRule="auto"/>
        <w:tabs>
          <w:tab w:val="left" w:pos="720" w:leader="none"/>
          <w:tab w:val="left" w:pos="126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8. Привлечение субподрядчика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8.1. Для выполнения специальных или каких-либо отдельных Работ по настоящему Договору Подрядчик может привлекать другие организации на правах субподряда только с письменного согласования Заказчика. Для согласования в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озможности привлечения субподрядной организации Подрядчик в обязательном порядке представляет следующую информацию о субподрядной организации: наименование и адрес субподрядчика, копию его Сертификата о допуске (при необходимости), перечень видов и объёмов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Работ, которые Подрядчик намерен поручить Субподрядчику, сведения о производственных мощностях, о наличии оборудования и специальной оснастки для выполнения работ, а также о количестве  и квалификации персонала, которой будет привлечен к выполнению работ.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8.2.  Подрядчик в полном объеме несет ответственность за действия субподрядчика, а также за соответствие выполняемых субподрядчиком Работ требованиям Заказчика и действующим нормативным документам.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8.3.  Подрядчик обязан согласовывать с Заказчиком заключение договоров с субподрядчиками, в случае изменения их состава по сравнению с представленным им в заявке на проведение закупки.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8.4.  Подрядчик  вправе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по согласованию с Заказчиком осуществить замену субподрядчика– субъекта малого и среднего предпринимательства, с которым заключается, либо ранее был заключен договор субподряда, на другого субподрядчика – субъекта малого и среднего предпринимательства при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условии сохранения цены договора, заключаемого или заключенного между подрядчиком и субподрядчиком, либо цены такого договора за вычетом сумм, выплаченных подрядчиком в счет исполненных обязательств, в случае если договор субподряда был частично исполнен.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8.5.  Подрядчик обязуется в 3-дневный срок со дня заключения договора с субподрядчиком предоставить Заказчику информацию о заключенных им договорах с третьими лицами, привл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еченными к исполнению настоящего Договора, в объеме и по форме Приложения № 4 к настоящему Договору. Информация об изменении предоставленных сведений при заключении дополнительных соглашений к договорам с субподрядчиками предоставляется в таком же порядке.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ind w:left="142"/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9. Приемка выполненных Работ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9.1    Приемка выполненных Работ осуществляется ежемесячно. Ежемесячно, Подрядчик до 12:00 по московскому времени 25-го числа текущего месяца выполнения Работ, обязан уведомить об этом Заказчика, передать сканированные копии док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ументов, подтверждающих факт выполнения Работ, средствами факсимильной/электронной связи по номеру факса/адресу электронной почты, указанному в пункте 21 настоящего Договора.  Оригиналы документов, подтверждающих факт выполнения работ (оформленные и подпис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анные Подрядчиком Акты о приемке выполненных Работ формы КС-2, с предоставлением комплекта исполнительной документации, Актов на скрытые Работы и исполнительных съемок, Справка о стоимости выполненных Работ и затрат унифицированной формы КС-3, счет-фактура</w:t>
      </w:r>
      <w:r>
        <w:rPr>
          <w:rFonts w:ascii="Liberation Serif" w:hAnsi="Liberation Serif" w:eastAsia="Liberation Serif" w:cs="Liberation Serif"/>
          <w:i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и счет на оплату) должны быть направлены Заказчику не позднее 5 (пяти) календарных дней,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считая со дня окончания выполнения Работ.  Для составления Актов о приемке выполненных Работ (форм КС-2) и Справок о стоимости выполненных Работ и затрат (форма КС-3) применяются унифицированные формы, утвержденные Постановлением Госкомстата РФ от 11.11.1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999г. № 100 с учетом дополнений о предоставлении нарядов на выполненные ремонтные работы. Формирование отчетной документации в части стоимости выполненных работ Подрядчик должен осуществлять в ПК "ГРАН-Смета", в соответствии с требованиями Приложения № 10.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       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 Подрядчик обязан предоставлять Заказчику счета – фактуры, оформленные в порядке, предусмотренные действующим законодательством РФ о налогах и сборах не позднее пяти календарных дней считая со дня подписания Акта о приемке выполненных работ по форме КС-2.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9.2. Документы, подтверждающие факт выполнения Работ, должны быть оформлены на имя Заказчика. 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В случае непр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едставления необходимых копий согласно п.9.1. Заказчик уведомляет об этом Подрядчика. Подрядчик обязан в течение 1 (одного) календарного дня с момента получения данного уведомления Заказчика, представить недостающие копии документов Заказчику, что не освоб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ождает Подрядчика от ответственности, предусмотренной в пункте 12.2.2 настоящего Договора. В случае наличия ошибок и иных неточностей в указанных копиях документов Заказчик уведомляет об этом Подрядчика в течение 1 (одного) календарного дня с даты получени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я от Подрядчика копий документов, подтверждающих факт выполнения Работ. В таком уведомлении Заказчик должен указать способ устранения ошибок и иных неточностей в указанных документов. Подрядчик обязан в течение 1 (одного) календарного дня с момента получен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ия данного уведомления от Заказчика устранить ошибки и иные неточности в таких документах и представить копии таких исправленных документов Заказчику, что не освобождает Подрядчика от ответственности, предусмотренной пунктом 12.2.3. настоящего   Договора.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В течение 2 (двух) дней после предоставления исправленных копий документов, Подрядчик обязан предоставить Заказчику оригиналы документов.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9.3. В течение 5-ти (пяти) календарных дней с даты получения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указанных в п. 9.1. Договора документов, Заказчик совместно с Подрядчиком  осуществляет приемку выполненных Работ (видов Работ/Работ за отчетный месяц): проверяет их на соответствие Технической документации, Техническому заданию и требованиям Заказчика, пр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оверяет соответствие указанного в Акте о приемке выполненных Работ (форма КС-2) и Справке о стоимости выполненных Работ и затрат (форма КС-3) объема выполненных Работ фактическому объему и стоимости выполненных Работ, Смете работ. В случае отсутствия возра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жений, Заказчик подписывает указанные Акт и Справку. В случае наличия замечаний Заказчик не подписывает Акт о приемке выполненных Работ (форма КС-2) и Справку о стоимости выполненных Работ и затрат (форма КС-3) и направляет Подрядчику мотивированный отказ.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9.4. В случае использования материалов Заказчика, Подрядчик одновременно с Актами о приемке выполненных Работ (форма КС-2) представляет отчеты об использовании материалов Заказчика по форме Приложения № 8</w:t>
      </w: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 и Акт списания материалов на давальческой основе по форме Приложения № 9.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9.5.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В случае мотивированного отказа Заказчика от приемки результатов Работ, Сторонами составляется двусторонний Акт с перечнем необходимых доработок и сроков их выполнения. Подрядчик обязан устранить недостатки, указанные в Акте, своими силами и за свой счет.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9.6. В случае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предоставления Подрядчиком документов, оформленных не по форме и/или оформленных не полностью (отсутствует обязательные реквизиты, заполнены не все поля, разделы, имеются исправления), либо оформлены с ошибками, Заказчик вправе вернуть такие документы Под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рядчику на переоформление в порядке, предусмотренном п. 9.2. Договора, что не освобождает Подрядчика от ответственности за ненадлежащее исполнение договорных обязательств и не является основанием для изменения сроков выполнения Работ (этапов, видов Работ).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9.7. Оставшиеся по окончании Работ материальные ценности, полученные п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ри разборке и демонтаже (снятии, разборке), в течение 10 календарных дней с даты подписания Акта по форме КС-2 передаются Подрядчиком Заказчику по Акту технического состояния, и по форме Ф-24 ЭГ (Приложение №5), которые составляются в 2 (двух) экземплярах.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Оставшиеся по окончании Работ материальны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е ценности, полученные при разборке и демонтаже (снятии, разборке) не пригодные для дальнейшего использования и являющиеся ломом металлов передаются Подрядчиком на склад Заказчика с оформлением Акта технического состояния и формы Ф-24 ЭГ (Приложение №5) на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данные материальные ценности. Передача Подрядчиком лома металлов на склад Заказчика должна осуществляться с обязательной сортировкой лома по категориям (лом черных металлов 3А, 5А, 12А, 16А и т.д., лом нержавеющей стали, лом цветных металлов по видам). Ло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м металлов, который Подрядчик передает на склад Заказчика в обязательном порядке должен быть взвешен. Подтверждением взвешивания лома металлов является Акт взвешивания (в свободной форме), подписанный представителями стороны Подрядчика и стороны Заказчика.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708"/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Материалы, полученные при разборке и демонтаже оборудования, Подрядчик за свой счет и своими силами доставляет в указанное Заказчиком место.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9.8. Подрядчик одновременно с актами сдачи-п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риемки выполненных работ обязан предоставлять Заказчику подписанные табели учета рабочего времени на все выполненные работы как силами собственного, так и привлеченного (субподрядного) персонала, отдельно по каждому акту за соответствующий отчетный период.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0"/>
          <w:numId w:val="2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Гарантии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pStyle w:val="1431"/>
        <w:ind w:left="360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pStyle w:val="1418"/>
        <w:numPr>
          <w:ilvl w:val="1"/>
          <w:numId w:val="26"/>
        </w:numPr>
        <w:ind w:left="0"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Ответственность за качество используемых при выполнении Работ запасных частей/ комплектующих / материалов, несет предоставившая их Сторона. Подрядчик, принявший материалы от Заказчика в соответствии с п. 5.1.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3. Договора может ссылаться на ненадлежащее качество материалов Заказчика исключительно при условии соблюдения Подрядчиком п. 5.1.6. Договора и в случаях, если дефекты материалов не могли быть им обнаружены при надлежащей проверке материалов при их приемке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numPr>
          <w:ilvl w:val="1"/>
          <w:numId w:val="26"/>
        </w:numPr>
        <w:ind w:left="0"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гарантирует соответствие качества выполняемых Работ условиям Договора, а также действующим техническим требованиям и нормативам.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numPr>
          <w:ilvl w:val="1"/>
          <w:numId w:val="26"/>
        </w:numPr>
        <w:ind w:left="0"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Гарантия качества распространяется на все составляющие результата Работ.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ind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10.4. Стороны договорились, что гарантийный срок эксплуатации результата Работ составляет 24 (двадцать четыре) месяца с момента подписания Сторонами итогового акта по форме КС-2.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ind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10.5. При обнаружении в течение гарантийного срока дефектов в результатах выполненных Работ, Подрядчик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обязуется за свой счет по требованию Заказчика устранить обнаруженные дефекты, недостатки и замечания путем их исправления в согласованный с Заказчиком срок. Для участия в составлении Акта, фиксирующего дефекты, согласования порядка и сроков их устранения,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Подрядчик направляет своего представителя не позднее 3-х рабочих дней со дня получения письменного извещения от Заказчика (или Представителя Заказчика). Гарантийный срок в этом случае продлевается на период с момента обнаружения дефектов до их устранения.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jc w:val="both"/>
        <w:spacing w:after="0" w:line="240" w:lineRule="auto"/>
        <w:widowControl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 случае, если Подрядчик в течение срока, установленного настоящим пунктом, не устрани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т замечания и недостатки, выявленные Заказчиком, то Заказчик вправе без ущерба своих прав и гарантий заменить материалы, конструкции, изделия и устранить недостатки, замечания и дефекты силами других организаций с последующим выставлением счета Подрядчику.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ind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10.6.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При отказе Подрядчика от составления или подписания Акта обнаруженных дефектов, либо при неявке Представителя Подрядчика в установленный пунктом 10.5 настоящего Договора срок, Представитель Заказчика составляет односторонний акт на основании независимой эк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спертизы. В случае подтверждения наличия дефектов, замечаний, недостатков по вине Подрядчика, последний обязан оплатить расходы на ее проведение и устранить все замечания, дефекты и недостатки за свой счет и своими силами с возмещением причиненного ущерба.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ind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10.7. В течение гарантийного срока Подрядчик обязуется за свой счет прои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зводить замену или ремонт отдельных частей и деталей, материалов и конструкций на объекте, вышедших из строя из-за недостатков изготовления (если дефектные детали поставлены Подрядчиком), неправильного монтажа (ремонта) или некачественно выполненных Работ.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18"/>
        <w:ind w:firstLine="0"/>
        <w:jc w:val="both"/>
        <w:spacing w:after="0" w:line="240" w:lineRule="auto"/>
        <w:widowControl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3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Условия конфиденциальности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Стороны отвечают за обеспечение конфиденциальности полученной по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настоящему Договору документации (информации) и примут все необходимые меры для предотвращения разглашения указанных сведений и обеспечат соблюдение конфиденциальности физическими и юридическими лицами, которым Стороны дали возможность ознакомиться с этими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данными. Опубликование сведений, указанных в настоящем пункте или передача их третьим лицам возможна только на согласованных Сторонами условиях. Обязанности по соблюдению конфиденциальности остаются в силе и после прекращения действия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Ответственность Сторон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12.1.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РФ. 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12.2. Подрядчик при нарушении договорных обязательств уплачивает Заказчику: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12.2.1. за н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арушение сроков выполнения Работ (как конечного и/или начального, так и промежуточного) неустойку в размере 0,1% от сметной стоимости невыполненных Работ за каждый день просрочки. При нарушении конечного срока сдачи Работ свыше 30 дней Подрядчик дополнител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ьно уплачивает Заказчику штраф в размере 1% от стоимости Договора. Понесенные Заказчиком убытки от несвоевременного выполнения работ по Договору взыскиваются с Подрядчика в части, непокрытой неустойкой и штрафом, предусмотренными настоящим пунктом 12.2.1 Д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оговора. Убытки рассчитываются Заказчиком в соответствии с Методикой «Учет аварий и нарушений в работе энергооборудования, и расчёт экономического ущерба от них» МТ-039-3, утвержденной Приказом № УЭГ/285/ЭГ/242 от 06.06.2019 г. (Приложение № 7 к Договору).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12.2.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2. за нарушение Подрядчиком сроков исполнения обязательств по предоставлению документов в соответствии с пунктами 3.5., 9.1., 9.2. настоящего Договора Заказчик имеет право потребовать от Подрядчика уплаты пени в размере 1/360 ставки рефинансирования ЦБ РФ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от суммы неисполненного обязательства (как такая сумма определена в настоящем пункте) за каждый день просрочки. Стороны договорились, что в случае нарушения Подрядчиком сроков исполнения обязательств по предоставлению документов в соответствии с пунктами 3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.5., 9.1., 9.2. настоящего Договора для целей расчета пеней, указанных в настоящем пункте, суммой неисполненного Подрядчиком обязательства считается сумма, которая должна быть указана в документах, подтверждающих факт выполнения работ, и/или в акте сверки;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contextualSpacing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12.2.3. При наличии ошибок или ин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ых неточностей в документах, которые Подрядчик обязан подготовить и передать Заказчику в соответствии с пунктами 3.5., 6.12, 9.1., 9.2. Заказчик вправе потребовать от Подрядчика уплаты штрафа в размере 100 рублей за каждый некорректно оформленный документ.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12.3. За каждый день просрочки исполнения денежного обязательства Подрядчик вправе при наличии вины Заказчика потребовать от Заказчика уплатить проценты, определяемые в соответствии со статьей 395 Гражданского кодекса РФ.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12.4. Моментом призн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ания должником пеней и штрафных санкций за нарушение договорных обязательств, а также сумм возмещения убытков или ущерба является решение суда, вступившего в законную силу, либо фактическая оплата этих санкций должником на основании выставленной претензии.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12.5. В случае возникновения претензий к Подрядчику, независимо от их характера, со стороны третьих лиц, Заказчик не несет по ним никакой ответственности.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12.6. Подрядчик несет материальную ответственность в виде штрафа в размере 5 000 (Пять тысяч) рублей за каждое неисполнение или на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рушение его персоналом (персоналом Подрядчика) Правил техники безопасности, РД 34.03.201-97(ПТБ), Правил пожарной безопасности для энергетических предприятий, РД 153-34.0-03.301-00 (ВППБ 01-02-95), за нарушение других установленных уполномоченными органами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требований в области техники безопасности, пожарной безопасности, промышленной безопасности, охраны труда, экологии. Факт неисполнения или нарушения вышеуказанных документов устанавливается Заказчиком в порядке, предусмотренном указанными выше Правилами. 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12.7. В случае обнаружения на Объекте работника(ов) Подрядчика (субподрядчика) в состоянии алкогольного, наркотического или токсического опьянения, проноса/провоза или нахождения на территории Объекта веществ, вызывающих алкогольное, наркоти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ческое или токсическое опьянение, за исключением разрешенных веществ, Заказчик вправе потребовать от Подрядчика уплаты штрафа в размере 50 000 (пятьдесят тысяч) рублей за каждый такой факт в течение 15 (пятнадцати) календарных дней со дня его установления.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Фиксация факта появления работника на Объекте в состоянии алкогольного, наркотического или токсического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опьянения, проноса/провоза или нахождения на территории Объекта веществ, вызывающих алкогольное, наркотическое или токсическое опьянение, за исключением разрешенных веществ, для целей настоящего Договора осуществляется любым из нижеперечисленных способов: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8"/>
        </w:num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медицинским осмотром или освидетельствованием;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8"/>
        </w:num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актами, составленными работниками Заказчика и/или Подрядчика (Субподрядчика);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8"/>
        </w:num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письменными объяснениями работников Заказчика и/или Подрядчика (Субподрядчика)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28"/>
        </w:num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другими не запрещенными способами.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12.8. Ущерб, причиненный Подрядчиком при выполнении Работ по Договору Заказчику и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ли третьим лицам, возмещается Подрядчиком в полном объеме. Если ущерб, причиненный Подрядчиком третьим лицам, возмещен Заказчиком, то Подрядчик обязан возместить Заказчику соответствующие расходы по факту выставления Заказчиком соответствующего требования.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12.9. 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В случае возникновения претензий Заказчика в отношении достижения/не достижения показателей экономичности и надежности оборудования после ремонтов исполнение обязательства по оплате выполненных Работ 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и окончательной оплате со стороны Заказчика приостанавливается на период с момента обнаружения вышеуказанных нарушений и до момента их устранения Подрядчиком. При этом Заказчик не несет ответственности за задержку оплаты за выполненные Работы, а Подрядчик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 данном случае не имеет права ссы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латься на такую задержку платежей как на основание для отставания от сроков выполнения Работ, согласованных Сторонами. Требования Заказчика о показателях экономичности и надежности оборудования, а также о системе штрафов, указываются в Техническом задании.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12.10. Подрядчик несет материальную ответственность в виде штрафа в размере 10 000 рублей за каждое несвоевременное исполнение, или неисполнени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е положений, предусмотренных разделом 16 договора «Экологические требования». При этом уплата штрафов Заказчику не освобождает Подрядчика от ответственности, предусмотренной природоохранным законодательством РФ и от возмещения причиненного Заказчику ущерба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12.11. Уплата неустойки и штрафа не освобождает от исполнения обязательств или устранения нарушений.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12.12. При неисполнении Подрядчиком обязательств по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Договору и возникновения у Заказчика права на получение неустойки, предусмотренной Договором за неисполнение соответствующих обязательств, Заказчик вправе уменьшить сумму очередных платежей, причитающихся Подрядчику по Договору, на размер такой неустойки. 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ab/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Такое уменьшение платежей не является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 зачетом однородных встречных требований в понимании ст. 410 Гражданского кодекса РФ, а является согласованным Сторонами (в соответствии с п. 1 статьи 407 Гражданского кодекса РФ) надлежащим способом прекращения обязательств Сторон в соответствующей части.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jc w:val="both"/>
        <w:spacing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12.13. Статья 712 Гражданского кодекса РФ не применяется к отношениям Сторон по настоящему Договору.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Форс-мажор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Стороны освобождаются от ответственности за частичное или полное неисполнение обязательств по настоящему Договору, если оно явилось следствием п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риродных явлений, военных действий и прочих обстоятельств непреодолимой силы, включая действия и решения органов государственной власти и органов местного самоуправления, и если эти обстоятельства непосредственно повлияли на исполнение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Сторона, встретившая препятствие непреодолимого характера при выполнении своих обязательств по настоя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щему Договору, в трехдневный срок уведомит другую Сторону о наступлении и предполагаемых сроках прекращения форс-мажорных обстоятельств. Связанные с форс-мажором обстоятельства должны быть документально подтверждены Торговой Палатой соответствующей страны.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Срок исполнения обязательств по настоящему Договору отодвигается соразмерно времени, в течение которого действовали обстоятельства непреодолимой силы, а также последствия, вызванные этими обстоятельствами.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Если обстоятельства непреодолимой силы или их последствия будут длиться более 3 (Трех) месяцев, то Подрядчик и Заказчик обсудят, какие меры следует принять для продолжения проведения Работ.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Если в течение двух месяцев соглашения, устраивающего Стороны не будет достигнуто, каждая из Сторон вправе потребовать расторжения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Порядок разрешения споров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1"/>
          <w:numId w:val="27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num" w:pos="0" w:leader="none"/>
          <w:tab w:val="clear" w:pos="435" w:leader="none"/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Все споры, возникшие из настоящего Договора или касающиеся настоящего Договора, Стороны обязуются разрешать путем переговоров.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 невозможности достижения согласия в переговорах или отказе в переговорах,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споры и разногласия, возникающие из Договора или в связи с ним, в том числе касающиеся его выполнения, нарушения, прекращения или действительности рассматриваются в Арбитражном суде Республики Коми в порядке, установленном действующим законодательством РФ.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line="240" w:lineRule="auto"/>
        <w:shd w:val="clear" w:color="auto" w:fill="ffff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Основания расторжения Договора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 Заказчик вправе в одностороннем и внесудебном порядке отказаться от исполнения настоящего Договора в следующих случаях: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15.1.1. задержки Подрядчиком хода выполнения Работ более чем на 30 (тридцать) дней по причинам, не зависящим от Заказчика;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15.1.2. нарушение Подрядчиком условий настоящего Договора, ведущее к существенному нарушению сроков выполнения Работ, снижению качества Работ, предусмотренных проектом, Техническим заданием, требованиями Заказчика, действующими СНиП, НТД, ГОСТ РФ;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15.1.3. аннулирование лицензий, лишение (прекращение действия) </w:t>
      </w:r>
      <w:r>
        <w:rPr>
          <w:rFonts w:ascii="Liberation Serif" w:hAnsi="Liberation Serif" w:eastAsia="Liberation Serif" w:cs="Liberation Serif"/>
          <w:bCs/>
          <w:sz w:val="22"/>
          <w:szCs w:val="22"/>
          <w:lang w:eastAsia="ru-RU"/>
        </w:rPr>
        <w:t xml:space="preserve">Свидетельства о допуске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на профессиональную деятельность, другие акты/решения, налагаемые государственными органами в рамках действующего законодательства, лишающие Подрядчика права на производство Работ;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15.1.4. возбуждения в отношении Подрядчика дела о банкротстве;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i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15.1.5. при установлении нецелесообразности дальнейшего продолжения</w:t>
      </w:r>
      <w:r>
        <w:rPr>
          <w:rFonts w:ascii="Liberation Serif" w:hAnsi="Liberation Serif" w:eastAsia="Liberation Serif" w:cs="Liberation Serif"/>
          <w:i/>
          <w:sz w:val="22"/>
          <w:szCs w:val="22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Работ – с возмещением Подрядчику фактически понесенных затрат, подтвержденных Заказчиком.</w:t>
      </w:r>
      <w:r>
        <w:rPr>
          <w:rFonts w:ascii="Liberation Serif" w:hAnsi="Liberation Serif" w:cs="Liberation Serif"/>
          <w:i/>
          <w:sz w:val="22"/>
          <w:szCs w:val="22"/>
        </w:rPr>
      </w:r>
      <w:r>
        <w:rPr>
          <w:rFonts w:ascii="Liberation Serif" w:hAnsi="Liberation Serif" w:cs="Liberation Serif"/>
          <w:i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15.1.6. В случае нарушения Подрядчиком условий настоящего Договора о привлечении субподрядчиков;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15.2. Подрядчик вправе в одностороннем порядке отказаться от исполнения настоящего Договора в случае остановки выполнения Работ по требованию Заказчика по причинам, не зависящим от Подрядчика, на срок, превышающий 60 (шестьдесят) календарных дней.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15.3. Сторона, считающая необходимым расторгнуть настоящий Договор, должна сообщить об этом другой Стороне не позднее, чем за 5 (пять) рабочих дней до дня предполагаемого расторжения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15.4. Договор считается расторгнутым по основаниям, предусмотренным пунктами 15.1. и 15.2. настоящего Договора, с даты, указанной в уведомлении, при условии соблюдения сроков его направления, предусмотренных пунктом 15.3. настоящего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15.5. При досрочном расторжении Договора Подрядчик обязан в течение 3-х (трех) дней с даты расторжения Договора, если иной срок не будет указан Заказчиком в уведомлении о расторжении: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9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54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 запросу Заказчика перевести на Заказчика права и обязанности по заключенным договорам с субподрядчиками и поставщиками, передать разработанную исполнительную документацию;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9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54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вернуть материалы Заказчика, переданные Подрядчику для использования в работах;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9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54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вернуть всю документацию, полученную им от Заказчика;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9"/>
        </w:numPr>
        <w:ind w:left="0" w:firstLine="0"/>
        <w:jc w:val="both"/>
        <w:spacing w:after="0" w:line="240" w:lineRule="auto"/>
        <w:shd w:val="clear" w:color="auto" w:fill="ffffff"/>
        <w:widowControl w:val="off"/>
        <w:tabs>
          <w:tab w:val="left" w:pos="54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убрать со строительной площадки своими силами и за свой счет принадлежащие Подрядчику технику, передвижные бытовые и рабочие помещения и др., а также сдать строительную площадку Заказчику по акту передачи, подписываемому обеими Сторонами.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15.6. Условия Договора, регулирующие отношения Сторон, возникающие в связи с расторжением Договора, обеспечением исполнения обязательств Подрядчика, действуют и после расторжения Договора до полного исполнения обязательств.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Экологические требования.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При исполнении обязательств Подрядчик соблюдает требования законодательства в части охраны атмосферного воздуха, почв, поверхностных и подземных вод, обращения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с отходами, санитарного законодательства и иных требований природоохранного законодательства, несёт полную ответственность за любую свою деятельность, связанную с воздействием (возможным воздействием) на окружающую среду, в соответствии с природоохранным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законодательством Российской Федерации, в том числе за вред, причиненный в ходе своей деятельности компонентам окружающей среды, а также самостоятельно, за свой счет его ликвидирует и компенсирует в порядке, установленном действующим законодательством РФ.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самостоятельно рассчитывает и вносит плату за негативное воздействие на окружающую среду (в том числе за размещение отходов) в части воздействия, оказываемого на окружающую среду в процессе выполнения работ. Заказчик в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праве потребовать, а Подрядчик обязан предоставить копии платежных поручений по внесению платы за негативное воздействие на окружающую среду в части воздействия, оказываемого на окружающую среду в процессе выполнения работ (при наличии такого воздействия).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/>
      <w:bookmarkStart w:id="1" w:name="_Hlk103158581"/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</w:t>
      </w:r>
      <w:bookmarkEnd w:id="1"/>
      <w:r>
        <w:rPr>
          <w:rFonts w:ascii="Liberation Serif" w:hAnsi="Liberation Serif" w:eastAsia="Liberation Serif" w:cs="Liberation Serif"/>
          <w:sz w:val="22"/>
          <w:szCs w:val="22"/>
        </w:rPr>
        <w:t xml:space="preserve"> является образователем и собственником всех видов отходов (кроме отходов, которые имеют ценность, (указать при необходимости – «под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лежащих переводу в продукцию»), образованных в результате исполнения своих обязательств. Подрядчик обязан самостоятельно производить сбор отходов, образующихся в процессе выполнения работ по Договору способами и условиями, безопасными для окружающей среды.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Всё демонтированное оборудование, содержащее черные или цвет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ные металлы, а также отходы, которые имеют ценность для реализации, является собственностью Заказчика. Указанное оборудование должно сдаваться Подрядчиком на склад Заказчика в порядке, определяемом Заказчиком в зависимости от выполняемых Подрядчиком работ.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до начала производства работ должен согласовать с Заказчиком в письменном виде (с составлением акта в произвольной форме):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места временного накопления отходов, в том числе загрязненного обтирочного материала, производственных и бытовых отходов, грунта, демонтируемых конструкций, материалов, образующихся в процессе вып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олнения обязательств по договору. Места временного накопления отходов должны исключать попадание масел на пол и оборудование, почву, водные объекты, гидротехнические сооружения, сети канализации, дренажные каналы (предусмотреть контейнеры, поддоны и т.п.);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место установки мойки колес транспортных средств (при использовании мойки для колес);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место установки биотуалетов (при использовании биотуалетов);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место размещения МТР, необходимых для производства работ;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место размещения бытового городка (при использовании бытового городка);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источники водоснабжения (для производственных и хозяйственно-бытовых нужд);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место сброса сточных вод (в т.ч. производственных), образующихся в процессе выполнения работ;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места движения и стоянки транспортных средств (при использовании транспортных средств).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обязан самостоятельно заключать договоры со специализированными организациями (с письменного согласования Заказчиком выбранной организации):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на сбор, транспортировку, захоронение, обезвреживание или утилизацию отходов, (кроме отходов, имеющих ценность), образующихся в процессе выполнения работ / оказания услуг по договору, имеющи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ми лицензию на соответствующий вид деятельности соответствии с п. 30 ст. 12 Федерального закона от 04.05.2011 №99-ФЗ «О лицензировании отдельных видов деятельности» (в случае изменений законодательства указывается иной актуальный нормативный правовой акт);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на регулярное сервисное обслуживание биотуалетов и мойки колес, включая сбор и передачу специализированной организации сточных вод (при использовании мойки колес или биотуалетов);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на техническое обслуживание и ремонт транспортных сред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ств, включая контроль содержания загрязняющих веществ в отработавших газах автотранспорта (при нахождении автотранспортных средств на гарантийном периоде – документы о прохождении плановых технических обслуживаний) (при использовании транспортных средств);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на мойку транспортных средств (на специальных пунктах вне территории Заказчика) (при использовании транспортных средств).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График вывоза отходов Подрядчик обязан до начала производства работ согласовать с Заказчиком (с сос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тавлением акта в приемлемой для сторон форме). Вывоз отходов с территории Заказчика осуществляется Подрядчиком за свой счет, с привлечением собственной или арендованной техники, соответствующей требованиям законодательства в части транспортировки отходов.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Привлекаемые для транспортирования и иных работ по обращению с отходами работники должны иметь сертификаты о дополнительной подготовке на право работы с опасными отходами.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В течение 5 рабочих дней с момента заключения настоящего договора, Подрядчик предоставляет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Заказчику договор, или иной документ, подтверждающий намерение заключения договора со специализированной организацией работающей на основании лицензии на обращение с отходами в соответствии с п. 30 ст. 12 Федерального закона от 04.05.2011 № 99-ФЗ «О лицен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зировании отдельных видов деятельности» (в случае изменений указывается иной актуальный нормативный правовой акт), в котором отражены сведения о том куда будут передаваться отходы, с целью их дальнейшей утилизации, обработки, обезвреживания или размещения.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 о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кончании выполнения работ / оказания услуг Подрядчик осуществляет уборку места проведения работ, вывоз образованных отходов с целью их дальнейшей утилизации, обезвреживания силами специализированной организации, имеющей лицензию на соответствующий вид обра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щения с отходами, и/или размещения на лицензируемых полигонах. Заказчик вправе потребовать, а Подрядчик обязан предоставить документы, подтверждающие фактическую передачу, вывоз, утилизацию, обезвреживание и/или размещение отходов (акты, накладные и др.).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обязан провести рекультивацию земель после завершения работ (при нарушении почвенного покрова в процессе выполнения работ).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производит оплату штрафов, налагаемых контролирующими органам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и за вред, нанесенный своей деятельностью окружающей природной среде, за нарушение действующего законодательства в области охраны окружающей среды, в том числе требования законодательства в части охраны атмосферного воздуха, охраны земель, охраны поверхнос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тных и подземных вод, законодательства в области рыболовства и сохранения водных биоресурсов и среды их обитания, в области обращения с отходами, санитарно-эпидемиологического законодательства и другого природоохранного законодательства. Подрядчик компенси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рует Заказчику сумму штрафов, налагаемых на Заказчика надзорными органами в случае, если такие штрафы возникли ввиду несоблюдения Подрядчиком требований природоохранного законодательства в ходе осуществления деятельности Подрядчика на территории Заказчика.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Заказчик вправе осуществлять проверку выполнения требований природоохранного законодательства и мероприятий по охране окружающей среды на любом этапе выполнения работ, а при выявлении нарушений – выдавать указания Подрядчику об их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 устранении. Подрядчик выполняет в установленный срок предписания (указания) Заказчика, контролирующих органов о принятии мер по ликвидации ситуаций, возникших в результате деятельности Подрядчика, ставящих под угрозу экологическую и санитарную обстановку.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обязан соблюдать ограничения, установленные при ведении деятельности в границах водоохранной зоны в соответствии с п.15 ст. 65 Водного кодекса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Российской Федерации от 03.06.2006 № 74-ФЗ, а также в границах прибрежной защитной полосы в соответствии с п. 17 ст. 65 указанного Кодекса и несет ответственность за несоблюдение ограничений, предусмотренную Кодексом об административных правонарушениях РФ.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При возникновении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аварийной ситуации, связанной с загрязнением компонентов окружающей среды, Подрядчик незамедлительно должен информировать Заказчика о возникших чрезвычайных ситуациях, несчастных случаях, авариях, связанных с причинением вреда компонентам окружающей среды.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На территории Заказчика запрещается: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сжигать отходы;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допускать разливы нефтепродуктов;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использовать неисправную технику, механизмы;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сливать жидкие (нефтепродукты и т.п.), складировать твердые отходы в дренажную систему, в сети канализации, на почву, в подводящий и отводящий каналы;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осуществлять мойку, заправку и технического обслуживание транспортных средств (в т.ч. замену ГСМ);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использовать материалы и оборудование, которые могут быть опасны для окружающей среды и здоровья человека;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num" w:pos="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- осуществлять стоянку транспортных средств в не положенных для этого местах.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1"/>
          <w:numId w:val="27"/>
        </w:numPr>
        <w:ind w:left="0" w:firstLine="0"/>
        <w:jc w:val="both"/>
        <w:spacing w:line="240" w:lineRule="auto"/>
        <w:shd w:val="clear" w:color="auto" w:fill="ffffff"/>
        <w:widowControl w:val="off"/>
        <w:tabs>
          <w:tab w:val="num" w:pos="0" w:leader="none"/>
          <w:tab w:val="clear" w:pos="435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Подрядчик несёт полную ответственность за соблюдение природоохранного законодательства привлекаемыми им субподрядчиками (соисполнителями).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ind w:left="435"/>
        <w:jc w:val="both"/>
        <w:spacing w:line="240" w:lineRule="auto"/>
        <w:shd w:val="clear" w:color="auto" w:fill="ffffff"/>
        <w:widowControl w:val="off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numPr>
          <w:ilvl w:val="0"/>
          <w:numId w:val="27"/>
        </w:numPr>
        <w:jc w:val="center"/>
        <w:shd w:val="clear" w:color="auto" w:fill="ffffff"/>
        <w:widowControl w:val="off"/>
        <w:rPr>
          <w:rFonts w:ascii="Liberation Serif" w:hAnsi="Liberation Serif" w:cs="Liberation Serif"/>
          <w:b/>
          <w:bCs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Заключительные положения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/>
      <w:bookmarkStart w:id="2" w:name="_Hlk124246277"/>
      <w:r>
        <w:rPr>
          <w:rFonts w:ascii="Liberation Serif" w:hAnsi="Liberation Serif" w:eastAsia="Liberation Serif" w:cs="Liberation Serif"/>
          <w:sz w:val="22"/>
          <w:szCs w:val="22"/>
        </w:rPr>
        <w:t xml:space="preserve">17.1.</w:t>
      </w: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Вся информация, полученная в ходе реали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зации настоящего Договора, включая информацию о финансовом положении Сторон, считается конфиденциальной и не подлежит разглашению или передаче третьим лицам, как в период действия настоящего Договора, так и по окончании его действия в течение 3 (трех) лет.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17.2.</w:t>
      </w: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При изменении реквиз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итов, Стороны обязуются извещать друг друга о таких изменениях в десятидневный срок. В противном случае сообщения и расчеты, переданные и произведенные по последнему известному адресу и реквизитам, считаются переданными и произведенными надлежащим образом.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17.3.</w:t>
      </w: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Документы, переданные средствами факсимильной/электронной связи, имеют юридическую силу, оригиналы указанных документов направляются по почте в течение 5 (пяти) рабочих дней с даты передачи средствами факсимильной/электронной связи.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17.4.</w:t>
      </w: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Поставщик не вправе передавать свои права и обязанности по настоящему Договору третьим лицам без письменного согласия Покупателя.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17.5. В течение 5 (пяти) календарных дней с даты подписания настоящего Договора Поставщик обязуется раскрыть Покупателю сведения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о собственниках (номинальных владельцах) акций / долей участия Поставщика, по форме, предусмотренной Приложением № 3 к Договору, с указанием бенефициаров (в том числе конечного выгодоприобретателя / бенефициара) с предоставлением подтверждающих документов.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В случае любых изменений сведений о собственниках (номинальных владельцах)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акций / долей участия Поставщика, включая бенефициаров (в том числе конечного выгодоприобретателя / бенефициара), Поставщик обязуется в течение 5 (пяти) календарных дней с даты наступления таких изменений предоставить Покупателю актуализированные сведения.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При раскрытии соответствующей информации Стороны обязуются производить обработку персональных данных в соответствии с Федеральным законом №152-ФЗ от 27.07.2006 «О персональных данных».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Положения пункта 17.5. До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говора Стороны признают существенным условием. В случае невыполнения или ненадлежащего выполнения Поставщиком обязательств, предусмотренных настоящим пунктом Договора, Покупатель вправе в одностороннем внесудебном порядке отказаться от исполнения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17.6. Настоящий Договор выражает все договорные условия и понимание между Сторона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ми в отношении всех упомянутых здесь вопросов, при этом все предыдущие обсуждения, обещания, согласования и представления между Сторонами, если таковые имелись, кроме упомянутых в тексте настоящего Договора, теряют силу и заменяются вышеизложенным текстом.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17.7. Настоящий Договор вступает в силу с даты подписания его Сторонами и действует до 31 декабря 2027 года, а в части расчетов и гарантийных обязательств – до полного исполнения обязательств Сторонами.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17.8. В части, не урегулированной настоящим Договором, отношения Сторон регламентируются действующим законодательством Российской Федерации. 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17.9. Настоящий договор, а также все приложения, изменения и дополнения к нему подписываются Сторонами с использованием усиленных квалифицированных электронных подписей.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Оригинал настоящего Договора в виде одного или нескольких электронных документов хранится на электронной торговой площадке АКЦИОНЕРНОЕ ОБЩЕСТВО «ТЭК-ТОРГ» (https://irao.tektorg.ru) с возможностью доступа к электронному документу обеих Сторон.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Датой подписания электронного документа Стороны признают дату подписания электронного документа второй Стороной, зафиксированной оператором электронного документооборота (вариант: электронной торговой площадкой) в протоколе передачи документа.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Стороны под номером договора понимают регистрационный номер Договора, указанный на первой странице Договора. Регистрационный номер договора также указывается во всех документах, предусмотренных в рамках исполнения Договора.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Стороны самостоятельно обеспечивают и несут ответственность за надлежащее использование уполномоченными лицами электронных подписей в соответствии с законодательством, регулирующим использование электронной подписи.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Порядок и условия электронного документооборота (подписания документов электронной подписью) по настоящему Договору регулируется заключенным между Сторонами соглашением об электронном документообороте (вариант: и / или правила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ми электронной торговой площадки), с соблюдением требований Федерального закона от 06.04.2011 № 63-ФЗ «Об электронной подписи», иных нормативных правовых актов, а также с учетом положений регламентирующих документов оператора электронного документооборота.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Подписание первичных учетных документов по Договору может осуществляться с использованием усиленных квалифицированных электронных подписей в случаях и порядке, предусмотренных заключенным между Сторонами соглашением об электронном документообороте.</w:t>
      </w:r>
      <w:bookmarkEnd w:id="2"/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pStyle w:val="1431"/>
        <w:numPr>
          <w:ilvl w:val="0"/>
          <w:numId w:val="1"/>
        </w:numPr>
        <w:jc w:val="center"/>
        <w:spacing w:line="240" w:lineRule="auto"/>
        <w:shd w:val="clear" w:color="auto" w:fill="ffffff"/>
        <w:rPr>
          <w:rFonts w:ascii="Liberation Serif" w:hAnsi="Liberation Serif" w:cs="Liberation Serif"/>
          <w:b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b/>
          <w:bCs/>
          <w:sz w:val="22"/>
          <w:szCs w:val="22"/>
          <w:lang w:eastAsia="ru-RU"/>
        </w:rPr>
        <w:t xml:space="preserve">18. Налоговая оговорка</w:t>
      </w:r>
      <w:r>
        <w:rPr>
          <w:rFonts w:ascii="Liberation Serif" w:hAnsi="Liberation Serif" w:eastAsia="Liberation Serif" w:cs="Liberation Serif"/>
          <w:b/>
          <w:color w:val="000000"/>
          <w:sz w:val="22"/>
          <w:szCs w:val="22"/>
          <w:lang w:eastAsia="ru-RU"/>
        </w:rPr>
        <w:t xml:space="preserve">.</w:t>
      </w:r>
      <w:r>
        <w:rPr>
          <w:rFonts w:ascii="Liberation Serif" w:hAnsi="Liberation Serif" w:cs="Liberation Serif"/>
          <w:b/>
          <w:color w:val="000000"/>
          <w:sz w:val="22"/>
          <w:szCs w:val="22"/>
        </w:rPr>
      </w:r>
      <w:r>
        <w:rPr>
          <w:rFonts w:ascii="Liberation Serif" w:hAnsi="Liberation Serif" w:cs="Liberation Serif"/>
          <w:b/>
          <w:color w:val="000000"/>
          <w:sz w:val="22"/>
          <w:szCs w:val="22"/>
        </w:rPr>
      </w:r>
    </w:p>
    <w:p>
      <w:pPr>
        <w:ind w:firstLine="680"/>
        <w:jc w:val="both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bCs/>
          <w:sz w:val="22"/>
          <w:szCs w:val="22"/>
        </w:rPr>
        <w:t xml:space="preserve">18.1.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В соответствии со статьей 431.2 Гражданского кодекса Российской Федерации Подрядчик  заверяет Заказчика, что на момент заключения Договора: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a)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работники и иные физические лица, привлекаемые Подрядчиком для исполнения обязательств, возникших из настоящего Договора, имеют необходимые для этого знания, опыт и квалификацию, подтверждаемые соответствующими документами. 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b)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Подрядчик, а также привлекаем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ые им в целях исполнения Договора лица (субподрядчики, субисполнители, субпоставщики и т.п.) обладают ресурсами, технологиями, деловыми связями, знаниями, навыками и умениями, а также опытом, необходимыми для исполнения обязательств, возникших из Договора;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c)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Подрядчик, а также привлекаемые им в целях исполнения Договора лица (субподрядчики, субисполнители, субпоставщики и т.п.) являются добросовестными налог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оплательщиками; в отношении каждого привлеченного лица (субподрядчика, субисполнителя, субпоставщика и т.п.) Подрядчик располагает необходимыми документами, свидетельствующими о соблюдении привлеченными контрагентами требований налогового законодательства;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d)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обязательства по Договору будут исполняться непосредственно Подрядчи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ком и (или) лицом (лицами), на которого (которых) Подрядчик возложил исполнение обязательств по соответствующему договору; Подрядчик несет ответственность за действительность отношений с лицами, привлекаемыми им в целях исполнения обязательств по Договору.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ab/>
        <w:t xml:space="preserve">Заказчик полагается на указанные в настоящем пункте заверения об обстоятельствах при заключении и исполнении настоящего Договора, каждое из указанных заверений имеет для Заказчика существенное значение.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18.2.  В соответствии со статьей 307 Гражданского кодекса Российской Федерации Подрядчик обязуется обеспечить соответствие своей деятельности и деятельности привлекаемых им лиц (субподрядчиков, субисполнителей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, субпоставщиков и т.п.) условиям, указанным в п. 18.1 Договора, в налоговых периодах, в течение которых осуществляется исполнение обязательств по Договору, совершаются какие-либо операции по Договору. В этом смысле все обстоятельства, в отношении которых 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Подрядчик дает заверения в п. 19.1 Договора на момент его заключения, одновременно являются условиями, исполнение которых Подрядчик обязуется обеспечить в будущем и отвечать за их неисполнение по правилам главы 25 Гражданского кодекса Российской Федерации.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18.3. Возмещение имущественных потерь: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18.3.1 В соответствии со статьей 406.1 Гражданского кодекса Российской Федерации Подрядчик обязуется возместить Заказчику полностью все его имущественные потери, возникшие в связи с искажением Подрядчиком сведений о фактах хозяйственной жизни и об объект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ах налогообложения, с неисполнением или ненадлежащим исполнением Подрядчиком своих налоговых обязанностей, либо в связи с привлечением им в качестве своих контрагентов (например, субподрядчиков, субпоставщиков) организаций, не исполняющих либо ненадлежащим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образом исполняющих свои налоговые обязанности или имеющих иные признаки недобросовестности, либо в связи с привлечением контрагентами Подрядчика в качестве своих контрагентов организаций, не исполняющих либо ненадлежащим образом исполняющих свои налоговы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е обязанности или имеющих иные признаки недобросовестности независимо от длины цепочки контрагентов (и в любом из указанных случаев - независимо от того, знал ли Подрядчик о данных фактах или нет), в случае наступления совокупности следующих обстоятельств: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а) в порядке применения статьи 101,105.17 Налогового кодекса Российской Федерации налоговым органом в отношении Заказчика вынесено решение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о привлечении к ответственности или об отказе в привлечении к ответственности за совершение налогового правонарушения с указанием сумм недоимки по налогам (налог на прибыль, НДС), соответствующих сумм штрафов, пеней (далее - «Решение налогового органа»), 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либо в порядке статьи 105.30 Налогового кодекса Российской Федерации от налогового органа получено мотивированное мнение с указанием сумм недоимки по налогам (налог на прибыль, НДС), соответствующих сумм пеней (далее –«Мотивированное  мнение»);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б) суммы недоимки по налогам (налог на прибыль, НДС), соответствующие суммы штрафов (если применимо), пеней списаны с банковского счета 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Заказчика в безакцептном порядке или перечислены Заказчиком добровольно (вследствие добровольного отказа Заказчика от применения вычета по операциям с Подрядчиком) в соответствии с Решением налогового органа или по Мотивированному мнению налогового органа.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Размер имущественных потерь Заказчика определяется как совокупность следующих сумм: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- суммы налога на прибыль и/или НДС, доначисленного Заказчику в связи с эпизодам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и, связанными с Подрядчиком, или уплаченного Заказчиком в бюджет вследствие добровольного отказа Заказчика от применения вычета по операциям с Подрядчиком («Доначисленные налоги») в соответствии с Решением налогового органа или Мотивированным мнением; плюс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- суммы начисленных Заказчику пеней на сумму Доначисленных налогов в соответствии с Решением налогового органа («Пени») или Мотивированным мнением; плюс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- штрафов, начисленных Заказчику за соответствующие налоговые нарушения в связи с неуплатой Доначисленных налогов в соответствии с Решением налогового органа («Штрафы»).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Подрядчик возмещает Заказчику указанные в настоящем пункте имущественные потери в течение 10 (десяти) дней с даты предъявления Заказчиком соответствующего </w:t>
      </w:r>
      <w:r>
        <w:rPr>
          <w:rFonts w:ascii="Liberation Serif" w:hAnsi="Liberation Serif" w:eastAsia="Liberation Serif" w:cs="Liberation Serif"/>
          <w:sz w:val="22"/>
          <w:szCs w:val="22"/>
          <w:highlight w:val="white"/>
          <w:lang w:eastAsia="ru-RU"/>
        </w:rPr>
        <w:t xml:space="preserve">требования.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sz w:val="22"/>
          <w:szCs w:val="22"/>
          <w:highlight w:val="white"/>
          <w:lang w:eastAsia="ru-RU"/>
        </w:rPr>
        <w:t xml:space="preserve">Заказчик </w:t>
      </w:r>
      <w:r>
        <w:rPr>
          <w:rFonts w:ascii="Liberation Serif" w:hAnsi="Liberation Serif" w:eastAsia="Liberation Serif" w:cs="Liberation Serif"/>
          <w:sz w:val="22"/>
          <w:szCs w:val="22"/>
          <w:highlight w:val="white"/>
        </w:rPr>
        <w:t xml:space="preserve">вправе удержать сумму возмещения потерь из причитающихся платежей Подрядчику по договору, а также из иных расчетов по любым сделкам с </w:t>
      </w:r>
      <w:r>
        <w:rPr>
          <w:rFonts w:ascii="Liberation Serif" w:hAnsi="Liberation Serif" w:eastAsia="Liberation Serif" w:cs="Liberation Serif"/>
          <w:i/>
          <w:color w:val="000000"/>
          <w:sz w:val="22"/>
          <w:szCs w:val="22"/>
          <w:highlight w:val="white"/>
        </w:rPr>
        <w:t xml:space="preserve">Подрядчиком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highlight w:val="white"/>
        </w:rPr>
        <w:t xml:space="preserve"> (в том числе произвести зачет встречных однородных требований).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18.3.2.  Стороны согласовали следующую процедуру взаимодействия сторон по минимизации имущественных потерь: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 18.3.2.1.  При получении в порядке статьи 100, 105.17 Налогового кодекса Российской Федерации акта налоговой проверки (далее – «Акт налоговой проверки») или - в порядке, установленном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 статьей 105.29 Налогового кодекса Российской Федерации, - уведомления о наличии оснований для составления мотивированного мнения (далее – «Уведомление»), в котором проверяющими отражены выявленные нарушения законодательства о налогах и сборах, вызванные д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ействиями или бездействием Подрядчика при исчислении и уплате налогов, а также привлеченных Подрядчиком в целях исполнения обязательств по Договору контрагентов (например, субподрядчиков, субисполнителей, субпоставщиков), Заказчик в течение 10 (десяти) кал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ендарных дней с момента получения акта налоговой проверки и в течение 5 (пяти) календарных дней с момента получения Уведомления направляет в адрес Подрядчика выписку из акта налогового органа или Уведомления по соответствующему эпизоду (далее – «Выписка»).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  <w:highlight w:val="white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18.3.2.2.  В случае несогласия с фактами, изложенными в Выписке, а также с выв</w:t>
      </w: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одами и предложениями проверяющих, Подрядчик в течение 10 (десяти) календарных дней с момента получения Выписки из акта налогового органа направляет в адрес Заказчика письменные мотивированные возражения по фактам (выводам проверяющих), содержащимся в ней,</w:t>
      </w:r>
      <w:r>
        <w:rPr>
          <w:rFonts w:ascii="Liberation Serif" w:hAnsi="Liberation Serif" w:eastAsia="Liberation Serif" w:cs="Liberation Serif"/>
          <w:sz w:val="22"/>
          <w:szCs w:val="22"/>
          <w:highlight w:val="white"/>
          <w:lang w:eastAsia="ru-RU"/>
        </w:rPr>
        <w:t xml:space="preserve"> 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highlight w:val="white"/>
        </w:rPr>
        <w:t xml:space="preserve">а также имеющиеся документы/информацию, подтверждающие необоснованность претензий налогового органа, указанных в Выписке, которые </w:t>
      </w:r>
      <w:r>
        <w:rPr>
          <w:rFonts w:ascii="Liberation Serif" w:hAnsi="Liberation Serif" w:eastAsia="Liberation Serif" w:cs="Liberation Serif"/>
          <w:i/>
          <w:color w:val="000000"/>
          <w:sz w:val="22"/>
          <w:szCs w:val="22"/>
          <w:highlight w:val="white"/>
        </w:rPr>
        <w:t xml:space="preserve">Заказчик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highlight w:val="white"/>
        </w:rPr>
        <w:t xml:space="preserve"> обязан учесть при представлении Возражений в налоговый орган в порядке, предусмотренном Налоговым Кодексом Российской Федерации.</w:t>
      </w:r>
      <w:r>
        <w:rPr>
          <w:rFonts w:ascii="Liberation Serif" w:hAnsi="Liberation Serif" w:cs="Liberation Serif"/>
          <w:highlight w:val="white"/>
        </w:rPr>
      </w:r>
      <w:r>
        <w:rPr>
          <w:rFonts w:ascii="Liberation Serif" w:hAnsi="Liberation Serif" w:cs="Liberation Serif"/>
          <w:highlight w:val="white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В случае непредставления Подрядчиком в указанный выше срок письменных мотивированных возражений по фактам (выводам проверяющих), содержащимся в Выписке, считается, что у Подрядчика отсутствуют возражения против выводов проверяющих, изложенных в Выписке.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pPr>
        <w:ind w:firstLine="680"/>
        <w:jc w:val="both"/>
        <w:spacing w:after="0" w:line="240" w:lineRule="auto"/>
        <w:rPr>
          <w:rFonts w:ascii="Liberation Serif" w:hAnsi="Liberation Serif" w:cs="Liberation Serif"/>
        </w:rPr>
      </w:pPr>
      <w:r>
        <w:rPr>
          <w:rFonts w:ascii="Liberation Serif" w:hAnsi="Liberation Serif" w:eastAsia="Liberation Serif" w:cs="Liberation Serif"/>
          <w:sz w:val="22"/>
          <w:szCs w:val="22"/>
          <w:lang w:eastAsia="ru-RU"/>
        </w:rPr>
        <w:t xml:space="preserve">18.3.2.3. Заказчик вправе потребовать с Подрядчика возмещения имущественных потерь, связанных с наступлением обстоятельств, указанных в п. 18.3.1. Договора, в течение срока действия Договора и в течение трех лет после окончания срока действия Договора.</w:t>
      </w:r>
      <w:r>
        <w:rPr>
          <w:rFonts w:ascii="Liberation Serif" w:hAnsi="Liberation Serif" w:cs="Liberation Serif"/>
        </w:rPr>
      </w:r>
      <w:r>
        <w:rPr>
          <w:rFonts w:ascii="Liberation Serif" w:hAnsi="Liberation Serif" w:cs="Liberation Serif"/>
        </w:rPr>
      </w:r>
    </w:p>
    <w:p>
      <w:r/>
      <w:r/>
    </w:p>
    <w:p>
      <w:pPr>
        <w:pStyle w:val="1431"/>
        <w:numPr>
          <w:ilvl w:val="0"/>
          <w:numId w:val="31"/>
        </w:numPr>
        <w:jc w:val="center"/>
        <w:spacing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bCs/>
          <w:color w:val="000000"/>
          <w:sz w:val="22"/>
          <w:szCs w:val="22"/>
        </w:rPr>
      </w:pPr>
      <w:r/>
      <w:bookmarkStart w:id="3" w:name="_Hlk79580599"/>
      <w:r>
        <w:rPr>
          <w:rFonts w:ascii="Liberation Serif" w:hAnsi="Liberation Serif" w:eastAsia="Liberation Serif" w:cs="Liberation Serif"/>
          <w:b/>
          <w:bCs/>
          <w:color w:val="000000"/>
          <w:sz w:val="22"/>
          <w:szCs w:val="22"/>
          <w:lang w:eastAsia="ru-RU"/>
        </w:rPr>
        <w:t xml:space="preserve">Антикоррупционная оговорка</w:t>
      </w:r>
      <w:r>
        <w:rPr>
          <w:rFonts w:ascii="Liberation Serif" w:hAnsi="Liberation Serif" w:cs="Liberation Serif"/>
          <w:b/>
          <w:bCs/>
          <w:color w:val="000000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/>
          <w:sz w:val="22"/>
          <w:szCs w:val="22"/>
        </w:rPr>
      </w:r>
    </w:p>
    <w:p>
      <w:pPr>
        <w:spacing w:after="0" w:line="240" w:lineRule="auto"/>
        <w:shd w:val="clear" w:color="auto" w:fill="ffffff"/>
        <w:widowControl w:val="off"/>
        <w:rPr>
          <w:rFonts w:ascii="Liberation Serif" w:hAnsi="Liberation Serif" w:cs="Liberation Serif"/>
          <w:b/>
          <w:bCs/>
          <w:color w:val="000000"/>
          <w:sz w:val="22"/>
          <w:szCs w:val="22"/>
        </w:rPr>
      </w:pPr>
      <w:r>
        <w:rPr>
          <w:rFonts w:ascii="Liberation Serif" w:hAnsi="Liberation Serif" w:cs="Liberation Serif"/>
          <w:b/>
          <w:bCs/>
          <w:color w:val="000000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/>
          <w:sz w:val="22"/>
          <w:szCs w:val="22"/>
        </w:rPr>
      </w:r>
      <w:r>
        <w:rPr>
          <w:rFonts w:ascii="Liberation Serif" w:hAnsi="Liberation Serif" w:cs="Liberation Serif"/>
          <w:b/>
          <w:bCs/>
          <w:color w:val="000000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20" w:leader="none"/>
        </w:tabs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19.1. Подрядчику известно о том, что Заказчик АО «Интер РАО - Электрогенерация» ведет антикоррупционную политику и развивает не допускающую коррупционных проявлений культуру.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При исполнении своих обязательств по настоящему Договору, Стороны, их аффилированные лица, работники или посредники не выплачивают, не п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оговора законодательством, как дача/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коррупции легализации (отмыванию) доходов, полученных преступным путем.</w:t>
      </w: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В случае возникновения у Стороны подозрений, что со Стороны-контрагента и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 (или) его представителя, и (или) работника, и (или) его аффилированного лица произошло или может произойти нарушение каких-либо положений настоящего пункта, соответствующая Сторона обязуется незамедлительно уведомить о данном обстоятельстве другую Сторону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 в письменной форме и продублировать уведомление на горячую линию этой Стороны hotline@interrao.ru. Сторона, направившая письменное уведомление, имеет право приостановить исполнение обязательств по настоящему Договору до получения подтверждения от другой С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тороны, что нарушения не произошло или не произойдет. Это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</w:t>
      </w: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ind w:firstLine="709"/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В письменном уведомлении Сторона обязана сослаться на факты или предоставить материалы, достов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ерно подтверждающие или дающие основание предполагать, что произошло или может произойти нарушение каких-либо положений настоящего пункта Стороной-контрагентом, его аффилированными лицами, работниками или посредниками выражающееся в действиях, квалифицируе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легализации доходов, полученных преступным путем.</w:t>
      </w: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ab/>
        <w:t xml:space="preserve">19.2. В случае нарушения одной Стороной обязательств воздерживаться от запрещенных в пункте 19.1 настоящего До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говора/Соглашения/Контракта действий и/или неполучения другой Стороной в установленный пунктом 19.1 настоящего Договора срок подтверждения, что нарушения не произошло или не произойдет, другая Сторона имеет право расторгнуть Договор в одностороннем порядке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, направив письменное уведомление о его расторжении. Сторона, по чьей инициативе был расторгнут настоящий Договор в соответствии с положениями настоящего пункта 19.1, вправе требовать возмещения реального ущерба, возникшего в результате такого расторжения,</w:t>
      </w:r>
      <w:r>
        <w:rPr>
          <w:rFonts w:ascii="Liberation Serif" w:hAnsi="Liberation Serif" w:eastAsia="Liberation Serif" w:cs="Liberation Serif"/>
          <w:color w:val="000000"/>
          <w:sz w:val="22"/>
          <w:szCs w:val="22"/>
          <w:lang w:eastAsia="ru-RU"/>
        </w:rPr>
        <w:t xml:space="preserve"> при условии представления подтверждающих такой реальный ущерб документов.</w:t>
      </w:r>
      <w:bookmarkEnd w:id="3"/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jc w:val="both"/>
        <w:spacing w:after="0" w:line="240" w:lineRule="auto"/>
        <w:shd w:val="clear" w:color="auto" w:fill="ffffff"/>
        <w:widowControl w:val="off"/>
        <w:tabs>
          <w:tab w:val="left" w:pos="709" w:leader="none"/>
        </w:tabs>
        <w:rPr>
          <w:rFonts w:ascii="Liberation Serif" w:hAnsi="Liberation Serif" w:cs="Liberation Serif"/>
          <w:color w:val="000000"/>
          <w:sz w:val="22"/>
          <w:szCs w:val="22"/>
        </w:rPr>
      </w:pP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  <w:r>
        <w:rPr>
          <w:rFonts w:ascii="Liberation Serif" w:hAnsi="Liberation Serif" w:cs="Liberation Serif"/>
          <w:color w:val="000000"/>
          <w:sz w:val="22"/>
          <w:szCs w:val="22"/>
        </w:rPr>
      </w:r>
    </w:p>
    <w:p>
      <w:pPr>
        <w:numPr>
          <w:ilvl w:val="0"/>
          <w:numId w:val="1"/>
        </w:numPr>
        <w:jc w:val="center"/>
        <w:keepNext/>
        <w:spacing w:after="0"/>
        <w:widowControl w:val="off"/>
        <w:rPr>
          <w:rFonts w:ascii="Liberation Serif" w:hAnsi="Liberation Serif" w:cs="Liberation Serif"/>
          <w:b/>
          <w:bCs/>
          <w:sz w:val="22"/>
          <w:szCs w:val="22"/>
        </w:rPr>
        <w:outlineLvl w:val="0"/>
      </w:pP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2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  <w:lang w:val="en-US"/>
        </w:rPr>
        <w:t xml:space="preserve">0</w:t>
      </w:r>
      <w:r>
        <w:rPr>
          <w:rFonts w:ascii="Liberation Serif" w:hAnsi="Liberation Serif" w:eastAsia="Liberation Serif" w:cs="Liberation Serif"/>
          <w:b/>
          <w:bCs/>
          <w:sz w:val="22"/>
          <w:szCs w:val="22"/>
        </w:rPr>
        <w:t xml:space="preserve">. Приложения к настоящему Договору</w:t>
      </w:r>
      <w:r>
        <w:rPr>
          <w:rFonts w:ascii="Liberation Serif" w:hAnsi="Liberation Serif" w:cs="Liberation Serif"/>
          <w:b/>
          <w:bCs/>
          <w:sz w:val="22"/>
          <w:szCs w:val="22"/>
        </w:rPr>
      </w:r>
      <w:r>
        <w:rPr>
          <w:rFonts w:ascii="Liberation Serif" w:hAnsi="Liberation Serif" w:cs="Liberation Serif"/>
          <w:b/>
          <w:bCs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/>
      <w:bookmarkStart w:id="4" w:name="sub_1"/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 1 – Техническое задание;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 2 – Смета;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Приложение № 3</w:t>
      </w:r>
      <w:r>
        <w:rPr>
          <w:rFonts w:ascii="Liberation Serif" w:hAnsi="Liberation Serif" w:eastAsia="Liberation Serif" w:cs="Liberation Serif"/>
          <w:b/>
          <w:bCs/>
          <w:color w:val="auto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–</w:t>
      </w: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 Форма предоставления информации о собственниках;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Приложение № 4 – Форма предоставления информации о субподрядчиках;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Приложение № 5 – Форма акта об оприходовании материальных ценностей;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567" w:leader="none"/>
        </w:tabs>
        <w:rPr>
          <w:rFonts w:ascii="Liberation Serif" w:hAnsi="Liberation Serif" w:cs="Liberation Serif"/>
          <w:bCs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Приложение № 6 – Подтверждение достаточности документации;</w:t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  <w:r>
        <w:rPr>
          <w:rFonts w:ascii="Liberation Serif" w:hAnsi="Liberation Serif" w:cs="Liberation Serif"/>
          <w:bCs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284" w:firstLine="0"/>
        <w:jc w:val="both"/>
        <w:spacing w:after="0" w:line="240" w:lineRule="auto"/>
        <w:widowControl w:val="off"/>
        <w:tabs>
          <w:tab w:val="num" w:pos="284" w:leader="none"/>
          <w:tab w:val="num" w:pos="567" w:leader="none"/>
        </w:tabs>
        <w:rPr>
          <w:rFonts w:ascii="Liberation Serif" w:hAnsi="Liberation Serif" w:cs="Liberation Serif"/>
          <w:i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bCs/>
          <w:color w:val="auto"/>
          <w:sz w:val="22"/>
          <w:szCs w:val="22"/>
        </w:rPr>
        <w:t xml:space="preserve">Приложение № 7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–</w:t>
      </w:r>
      <w:r>
        <w:rPr>
          <w:rFonts w:ascii="Liberation Serif" w:hAnsi="Liberation Serif" w:eastAsia="Liberation Serif" w:cs="Liberation Serif"/>
          <w:b/>
          <w:bCs/>
          <w:color w:val="auto"/>
          <w:sz w:val="22"/>
          <w:szCs w:val="22"/>
        </w:rPr>
        <w:t xml:space="preserve"> </w:t>
      </w: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Методика «Учет аварий и нарушений в работе энергооборудования, и расчёт экономического ущерба от них в филиалах АО «Интер РАО – Электрогенерация».</w:t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284" w:firstLine="0"/>
        <w:jc w:val="both"/>
        <w:spacing w:after="0" w:line="240" w:lineRule="auto"/>
        <w:widowControl w:val="off"/>
        <w:tabs>
          <w:tab w:val="num" w:pos="284" w:leader="none"/>
          <w:tab w:val="num" w:pos="567" w:leader="none"/>
        </w:tabs>
        <w:rPr>
          <w:rFonts w:ascii="Liberation Serif" w:hAnsi="Liberation Serif" w:cs="Liberation Serif"/>
          <w:i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 8 – Отчет об использовании давальческих материалов при выполнении подрядных работ;</w:t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709" w:hanging="425"/>
        <w:jc w:val="both"/>
        <w:spacing w:after="0" w:line="240" w:lineRule="auto"/>
        <w:widowControl w:val="off"/>
        <w:tabs>
          <w:tab w:val="num" w:pos="284" w:leader="none"/>
          <w:tab w:val="num" w:pos="567" w:leader="none"/>
        </w:tabs>
        <w:rPr>
          <w:rFonts w:ascii="Liberation Serif" w:hAnsi="Liberation Serif" w:cs="Liberation Serif"/>
          <w:i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 9 – Акт списания материалов на давальческой основе;</w:t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  <w:r>
        <w:rPr>
          <w:rFonts w:ascii="Liberation Serif" w:hAnsi="Liberation Serif" w:cs="Liberation Serif"/>
          <w:i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284" w:firstLine="0"/>
        <w:jc w:val="both"/>
        <w:spacing w:after="0" w:line="240" w:lineRule="auto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№10 - Требования по формированию сметной стоимости и Актов КС-2 в ПК ГРАНД-Смета.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numPr>
          <w:ilvl w:val="0"/>
          <w:numId w:val="30"/>
        </w:numPr>
        <w:ind w:left="284" w:firstLine="0"/>
        <w:jc w:val="both"/>
        <w:spacing w:after="0" w:line="240" w:lineRule="auto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Приложение № 11 - </w:t>
      </w:r>
      <w:r>
        <w:rPr>
          <w:rFonts w:ascii="Liberation Serif" w:hAnsi="Liberation Serif" w:eastAsia="Liberation Serif" w:cs="Liberation Serif"/>
          <w:sz w:val="22"/>
          <w:szCs w:val="22"/>
        </w:rPr>
        <w:t xml:space="preserve">Требования в области охраны труда, промышленной и пожарной безопасности.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ind w:left="360"/>
        <w:jc w:val="both"/>
        <w:spacing w:after="0" w:line="240" w:lineRule="auto"/>
        <w:widowControl w:val="off"/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ind w:left="284"/>
        <w:jc w:val="both"/>
        <w:spacing w:after="0" w:line="240" w:lineRule="auto"/>
        <w:widowControl w:val="off"/>
        <w:tabs>
          <w:tab w:val="num" w:pos="284" w:leader="none"/>
          <w:tab w:val="num" w:pos="709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eastAsia="Liberation Serif" w:cs="Liberation Serif"/>
          <w:color w:val="auto"/>
          <w:sz w:val="22"/>
          <w:szCs w:val="22"/>
        </w:rPr>
        <w:t xml:space="preserve">Все приложения к настоящему Договору являются его неотъемлемой частью с даты его подписания Сторонами.</w:t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ind w:left="284"/>
        <w:jc w:val="both"/>
        <w:spacing w:after="0" w:line="240" w:lineRule="auto"/>
        <w:widowControl w:val="off"/>
        <w:tabs>
          <w:tab w:val="num" w:pos="284" w:leader="none"/>
          <w:tab w:val="num" w:pos="709" w:leader="none"/>
        </w:tabs>
        <w:rPr>
          <w:rFonts w:ascii="Liberation Serif" w:hAnsi="Liberation Serif" w:cs="Liberation Serif"/>
          <w:color w:val="auto"/>
          <w:sz w:val="22"/>
          <w:szCs w:val="22"/>
        </w:rPr>
      </w:pP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  <w:r>
        <w:rPr>
          <w:rFonts w:ascii="Liberation Serif" w:hAnsi="Liberation Serif" w:cs="Liberation Serif"/>
          <w:color w:val="auto"/>
          <w:sz w:val="22"/>
          <w:szCs w:val="22"/>
        </w:rPr>
      </w:r>
    </w:p>
    <w:p>
      <w:pPr>
        <w:pStyle w:val="720"/>
        <w:numPr>
          <w:ilvl w:val="0"/>
          <w:numId w:val="1"/>
        </w:numPr>
        <w:jc w:val="center"/>
        <w:spacing w:before="108" w:after="108"/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eastAsia="Liberation Serif" w:cs="Liberation Serif"/>
          <w:sz w:val="22"/>
          <w:szCs w:val="22"/>
        </w:rPr>
        <w:t xml:space="preserve">2</w:t>
      </w:r>
      <w:bookmarkEnd w:id="4"/>
      <w:r>
        <w:rPr>
          <w:rFonts w:ascii="Liberation Serif" w:hAnsi="Liberation Serif" w:eastAsia="Liberation Serif" w:cs="Liberation Serif"/>
          <w:sz w:val="22"/>
          <w:szCs w:val="22"/>
        </w:rPr>
        <w:t xml:space="preserve">1. Адреса, реквизиты и подписи сторон</w:t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tbl>
      <w:tblPr>
        <w:tblW w:w="10172" w:type="dxa"/>
        <w:tblLook w:val="04A0" w:firstRow="1" w:lastRow="0" w:firstColumn="1" w:lastColumn="0" w:noHBand="0" w:noVBand="1"/>
      </w:tblPr>
      <w:tblGrid>
        <w:gridCol w:w="5353"/>
        <w:gridCol w:w="4819"/>
      </w:tblGrid>
      <w:tr>
        <w:tblPrEx/>
        <w:trPr/>
        <w:tc>
          <w:tcPr>
            <w:tcW w:w="5353" w:type="dxa"/>
            <w:textDirection w:val="lrTb"/>
            <w:noWrap w:val="false"/>
          </w:tcPr>
          <w:p>
            <w:pPr>
              <w:ind w:right="43"/>
              <w:jc w:val="center"/>
              <w:spacing w:after="0" w:line="240" w:lineRule="auto"/>
              <w:shd w:val="clear" w:color="auto" w:fill="ffffff"/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2"/>
                <w:szCs w:val="22"/>
                <w:lang w:eastAsia="ru-RU"/>
              </w:rPr>
              <w:t xml:space="preserve">Заказчик:</w:t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2"/>
                <w:szCs w:val="22"/>
                <w:lang w:eastAsia="ru-RU"/>
              </w:rPr>
              <w:t xml:space="preserve">АО «Интер РАО – Электрогенерация»</w:t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Место нахождения: РФ, г. Москва.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Почтовый адрес: РФ, 119435, г. Москва,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ул. Большая Пироговская, д.27, стр.1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widowControl w:val="off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  <w:t xml:space="preserve">ИНН 7704784450; КПП 770401001/997650001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spacing w:after="0" w:line="240" w:lineRule="auto"/>
              <w:widowControl w:val="off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  <w:t xml:space="preserve">ОГРН 1117746460358; ОКПО 92516444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spacing w:after="0" w:line="240" w:lineRule="auto"/>
              <w:widowControl w:val="off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</w:rPr>
              <w:t xml:space="preserve">ОКВЭД 35.11; ОКТМО 45383000  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Банковские реквизиты: Банк ГПБ (АО) г. Москва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р/с 40702810692000024152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к/с 30101810200000000823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БИК 044525823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2"/>
                <w:szCs w:val="22"/>
                <w:lang w:eastAsia="ru-RU"/>
              </w:rPr>
              <w:t xml:space="preserve">Получатель услуг:</w:t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Филиал «Печорская ГРЭС» АО «Интер РАО – Электрогенерация»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Место нахождения филиала: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РФ, 169600, Республика Коми, г. Печора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Почтовый адрес филиала (Адрес для направления корреспонденции):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РФ, 169600, Республика Коми, г. Печора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ИНН 7704784450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КПП 110543001 (филиала, для первичных документов)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ОКПО (филиала) 38668545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ОКАТО (филиала) 87420000000  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ОКТМО (филиала) 87620101001; ОКВЭД 35.11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Телефон: 8(82142) 2-93-59, Факс:8(82142) 2-94-59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val="en-US" w:eastAsia="ru-RU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val="en-US" w:eastAsia="ru-RU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: </w:t>
            </w:r>
            <w:hyperlink r:id="rId10" w:tooltip="mailto:secretary_pechgres@interrao.ru" w:history="1"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val="en-US" w:eastAsia="ru-RU"/>
                </w:rPr>
                <w:t xml:space="preserve">secretary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eastAsia="ru-RU"/>
                </w:rPr>
                <w:t xml:space="preserve">_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val="en-US" w:eastAsia="ru-RU"/>
                </w:rPr>
                <w:t xml:space="preserve">pechgres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eastAsia="ru-RU"/>
                </w:rPr>
                <w:t xml:space="preserve">@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val="en-US" w:eastAsia="ru-RU"/>
                </w:rPr>
                <w:t xml:space="preserve">interrao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eastAsia="ru-RU"/>
                </w:rPr>
                <w:t xml:space="preserve">.</w:t>
              </w:r>
              <w:r>
                <w:rPr>
                  <w:rFonts w:ascii="Liberation Serif" w:hAnsi="Liberation Serif" w:eastAsia="Liberation Serif" w:cs="Liberation Serif"/>
                  <w:color w:val="000000"/>
                  <w:sz w:val="22"/>
                  <w:szCs w:val="22"/>
                  <w:lang w:val="en-US" w:eastAsia="ru-RU"/>
                </w:rPr>
                <w:t xml:space="preserve">ru</w:t>
              </w:r>
            </w:hyperlink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8931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ind w:right="317"/>
              <w:spacing w:after="0" w:line="240" w:lineRule="auto"/>
              <w:widowControl w:val="off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________________/С.Г. Спицын /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ind w:right="317"/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  <w:suppressLineNumbers/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«_____» __________ 202_г.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 М.П.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</w:tc>
        <w:tc>
          <w:tcPr>
            <w:tcW w:w="48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2"/>
                <w:szCs w:val="22"/>
                <w:lang w:eastAsia="ru-RU"/>
              </w:rPr>
              <w:t xml:space="preserve">Подрядчик: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b/>
                <w:color w:val="auto"/>
                <w:sz w:val="22"/>
                <w:szCs w:val="22"/>
                <w:lang w:eastAsia="ru-RU"/>
              </w:rPr>
              <w:t xml:space="preserve">____________________________</w:t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2"/>
                <w:szCs w:val="22"/>
                <w:lang w:eastAsia="ru-RU"/>
              </w:rPr>
              <w:t xml:space="preserve">Юридический адрес: </w:t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000000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Почтовый адрес: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ИНН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ОКВЭД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ОГРН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Банковские реквизиты: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Расчетный счет №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  <w:highlight w:val="yellow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К/ счет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  <w:highlight w:val="yellow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  <w:highlight w:val="yellow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Тел.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val="en-US" w:eastAsia="ru-RU"/>
              </w:rPr>
              <w:t xml:space="preserve">e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-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val="en-US" w:eastAsia="ru-RU"/>
              </w:rPr>
              <w:t xml:space="preserve">mail</w:t>
            </w: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: 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ind w:left="218"/>
              <w:spacing w:after="0" w:line="240" w:lineRule="auto"/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b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__________________/_____________/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 «_____» __________ 202_ г.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eastAsia="Liberation Serif" w:cs="Liberation Serif"/>
                <w:color w:val="auto"/>
                <w:sz w:val="22"/>
                <w:szCs w:val="22"/>
                <w:lang w:eastAsia="ru-RU"/>
              </w:rPr>
              <w:t xml:space="preserve">М.П.</w:t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  <w:p>
            <w:pPr>
              <w:spacing w:after="0" w:line="240" w:lineRule="auto"/>
              <w:tabs>
                <w:tab w:val="left" w:pos="1520" w:leader="none"/>
              </w:tabs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pP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  <w:r>
              <w:rPr>
                <w:rFonts w:ascii="Liberation Serif" w:hAnsi="Liberation Serif" w:cs="Liberation Serif"/>
                <w:color w:val="auto"/>
                <w:sz w:val="22"/>
                <w:szCs w:val="22"/>
              </w:rPr>
            </w:r>
          </w:p>
        </w:tc>
      </w:tr>
    </w:tbl>
    <w:p>
      <w:pPr>
        <w:rPr>
          <w:rFonts w:ascii="Liberation Serif" w:hAnsi="Liberation Serif" w:cs="Liberation Serif"/>
          <w:sz w:val="22"/>
          <w:szCs w:val="22"/>
        </w:rPr>
      </w:pP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  <w:r>
        <w:rPr>
          <w:rFonts w:ascii="Liberation Serif" w:hAnsi="Liberation Serif" w:cs="Liberation Serif"/>
          <w:sz w:val="22"/>
          <w:szCs w:val="22"/>
        </w:rPr>
      </w:r>
    </w:p>
    <w:sectPr>
      <w:footnotePr/>
      <w:endnotePr/>
      <w:type w:val="nextPage"/>
      <w:pgSz w:w="11906" w:h="16838" w:orient="portrait"/>
      <w:pgMar w:top="851" w:right="856" w:bottom="142" w:left="146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Calibri">
    <w:panose1 w:val="020F0502020204030204"/>
  </w:font>
  <w:font w:name="Tahoma">
    <w:panose1 w:val="020B0604030504040204"/>
  </w:font>
  <w:font w:name="Mangal">
    <w:panose1 w:val="02040503050406030204"/>
  </w:font>
  <w:font w:name="Courier New">
    <w:panose1 w:val="02070409020205020404"/>
  </w:font>
  <w:font w:name="Symbol">
    <w:panose1 w:val="05010000000000000000"/>
  </w:font>
  <w:font w:name="Wingdings">
    <w:panose1 w:val="05010000000000000000"/>
  </w:font>
  <w:font w:name="Liberation Sans">
    <w:panose1 w:val="020B0604020202020204"/>
  </w:font>
  <w:font w:name="Arial">
    <w:panose1 w:val="020B0604020202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  <w:rPr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260" w:hanging="360"/>
      </w:pPr>
      <w:rPr>
        <w:rFonts w:hint="default" w:ascii="Symbol" w:hAnsi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8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00" w:hanging="360"/>
      </w:pPr>
      <w:rPr>
        <w:rFonts w:hint="default" w:ascii="Wingdings" w:hAnsi="Wingdings" w:cs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20" w:hanging="360"/>
      </w:pPr>
      <w:rPr>
        <w:rFonts w:hint="default" w:ascii="Symbol" w:hAnsi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4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60" w:hanging="360"/>
      </w:pPr>
      <w:rPr>
        <w:rFonts w:hint="default" w:ascii="Wingdings" w:hAnsi="Wingdings" w:cs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580" w:hanging="360"/>
      </w:pPr>
      <w:rPr>
        <w:rFonts w:hint="default" w:ascii="Symbol" w:hAnsi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0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20" w:hanging="360"/>
      </w:pPr>
      <w:rPr>
        <w:rFonts w:hint="default" w:ascii="Wingdings" w:hAnsi="Wingdings" w:cs="Wingdings"/>
      </w:r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432" w:hanging="432"/>
      </w:pPr>
    </w:lvl>
    <w:lvl w:ilvl="1">
      <w:start w:val="1"/>
      <w:numFmt w:val="none"/>
      <w:isLgl w:val="false"/>
      <w:suff w:val="nothing"/>
      <w:lvlText w:val=""/>
      <w:lvlJc w:val="left"/>
      <w:pPr>
        <w:ind w:left="576" w:hanging="576"/>
      </w:pPr>
    </w:lvl>
    <w:lvl w:ilvl="2">
      <w:start w:val="1"/>
      <w:numFmt w:val="none"/>
      <w:isLgl w:val="false"/>
      <w:suff w:val="nothing"/>
      <w:lvlText w:val=""/>
      <w:lvlJc w:val="left"/>
      <w:pPr>
        <w:ind w:left="720" w:hanging="720"/>
      </w:pPr>
    </w:lvl>
    <w:lvl w:ilvl="3">
      <w:start w:val="1"/>
      <w:numFmt w:val="none"/>
      <w:isLgl w:val="false"/>
      <w:suff w:val="nothing"/>
      <w:lvlText w:val=""/>
      <w:lvlJc w:val="left"/>
      <w:pPr>
        <w:ind w:left="864" w:hanging="864"/>
      </w:pPr>
    </w:lvl>
    <w:lvl w:ilvl="4">
      <w:start w:val="1"/>
      <w:numFmt w:val="none"/>
      <w:isLgl w:val="false"/>
      <w:suff w:val="nothing"/>
      <w:lvlText w:val=""/>
      <w:lvlJc w:val="left"/>
      <w:pPr>
        <w:ind w:left="1008" w:hanging="1008"/>
      </w:pPr>
    </w:lvl>
    <w:lvl w:ilvl="5">
      <w:start w:val="1"/>
      <w:numFmt w:val="none"/>
      <w:isLgl w:val="false"/>
      <w:suff w:val="nothing"/>
      <w:lvlText w:val=""/>
      <w:lvlJc w:val="left"/>
      <w:pPr>
        <w:ind w:left="1152" w:hanging="1152"/>
      </w:pPr>
    </w:lvl>
    <w:lvl w:ilvl="6">
      <w:start w:val="1"/>
      <w:numFmt w:val="none"/>
      <w:isLgl w:val="false"/>
      <w:suff w:val="nothing"/>
      <w:lvlText w:val=""/>
      <w:lvlJc w:val="left"/>
      <w:pPr>
        <w:ind w:left="1296" w:hanging="1296"/>
      </w:pPr>
    </w:lvl>
    <w:lvl w:ilvl="7">
      <w:start w:val="1"/>
      <w:numFmt w:val="none"/>
      <w:isLgl w:val="false"/>
      <w:suff w:val="nothing"/>
      <w:lvlText w:val=""/>
      <w:lvlJc w:val="left"/>
      <w:pPr>
        <w:ind w:left="1440" w:hanging="1440"/>
      </w:pPr>
    </w:lvl>
    <w:lvl w:ilvl="8">
      <w:start w:val="1"/>
      <w:numFmt w:val="none"/>
      <w:isLgl w:val="false"/>
      <w:suff w:val="nothing"/>
      <w:lvlText w:val=""/>
      <w:lvlJc w:val="left"/>
      <w:pPr>
        <w:ind w:left="1584" w:hanging="1584"/>
      </w:pPr>
    </w:lvl>
  </w:abstractNum>
  <w:abstractNum w:abstractNumId="3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  <w:rPr>
        <w:rFonts w:hint="default"/>
      </w:r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  <w:rPr>
        <w:rFonts w:hint="default"/>
      </w:r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  <w:rPr>
        <w:sz w:val="24"/>
        <w:szCs w:val="24"/>
      </w:rPr>
    </w:lvl>
    <w:lvl w:ilvl="1">
      <w:start w:val="7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  <w:rPr>
        <w:b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i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  <w:sz w:val="22"/>
        <w:szCs w:val="22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7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35" w:hanging="435"/>
        <w:tabs>
          <w:tab w:val="num" w:pos="435" w:leader="none"/>
        </w:tabs>
      </w:pPr>
    </w:lvl>
    <w:lvl w:ilvl="1">
      <w:start w:val="4"/>
      <w:numFmt w:val="decimal"/>
      <w:isLgl w:val="false"/>
      <w:suff w:val="tab"/>
      <w:lvlText w:val="%1.%2."/>
      <w:lvlJc w:val="left"/>
      <w:pPr>
        <w:ind w:left="435" w:hanging="435"/>
        <w:tabs>
          <w:tab w:val="num" w:pos="435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8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</w:lvl>
    <w:lvl w:ilvl="2">
      <w:start w:val="5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b w:val="0"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9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sz w:val="22"/>
        <w:szCs w:val="22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2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</w:lvl>
    <w:lvl w:ilvl="1">
      <w:start w:val="2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 w:cs="Symbol"/>
        <w:sz w:val="22"/>
        <w:szCs w:val="22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15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495" w:hanging="495"/>
        <w:tabs>
          <w:tab w:val="num" w:pos="495" w:leader="none"/>
        </w:tabs>
      </w:pPr>
    </w:lvl>
    <w:lvl w:ilvl="1">
      <w:start w:val="5"/>
      <w:numFmt w:val="decimal"/>
      <w:isLgl w:val="false"/>
      <w:suff w:val="tab"/>
      <w:lvlText w:val="%1.%2."/>
      <w:lvlJc w:val="left"/>
      <w:pPr>
        <w:ind w:left="495" w:hanging="495"/>
        <w:tabs>
          <w:tab w:val="num" w:pos="495" w:leader="none"/>
        </w:tabs>
      </w:pPr>
      <w:rPr>
        <w:b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502" w:hanging="360"/>
        <w:tabs>
          <w:tab w:val="num" w:pos="502" w:leader="none"/>
        </w:tabs>
      </w:pPr>
      <w:rPr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7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>
    <w:multiLevelType w:val="hybridMultilevel"/>
    <w:lvl w:ilvl="0">
      <w:start w:val="11"/>
      <w:numFmt w:val="decimal"/>
      <w:isLgl w:val="false"/>
      <w:suff w:val="tab"/>
      <w:lvlText w:val="%1."/>
      <w:lvlJc w:val="left"/>
      <w:pPr>
        <w:ind w:left="435" w:hanging="435"/>
        <w:tabs>
          <w:tab w:val="num" w:pos="435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  <w:tabs>
          <w:tab w:val="num" w:pos="435" w:leader="none"/>
        </w:tabs>
      </w:pPr>
      <w:rPr>
        <w:b w:val="0"/>
        <w:bCs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1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2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b w:val="0"/>
        <w:bCs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20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sz w:val="24"/>
        <w:szCs w:val="24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720" w:leader="none"/>
        </w:tabs>
      </w:pPr>
      <w:rPr>
        <w:bCs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440" w:hanging="720"/>
        <w:tabs>
          <w:tab w:val="num" w:pos="1440" w:leader="none"/>
        </w:tabs>
      </w:pPr>
      <w:rPr>
        <w:bCs/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800" w:hanging="72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520" w:hanging="1080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880" w:hanging="1080"/>
        <w:tabs>
          <w:tab w:val="num" w:pos="28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600" w:hanging="1440"/>
        <w:tabs>
          <w:tab w:val="num" w:pos="36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960" w:hanging="1440"/>
        <w:tabs>
          <w:tab w:val="num" w:pos="396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680" w:hanging="1800"/>
        <w:tabs>
          <w:tab w:val="num" w:pos="4680" w:leader="none"/>
        </w:tabs>
      </w:pPr>
    </w:lvl>
  </w:abstractNum>
  <w:abstractNum w:abstractNumId="22">
    <w:multiLevelType w:val="hybridMultilevel"/>
    <w:lvl w:ilvl="0">
      <w:start w:val="19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3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</w:lvl>
    <w:lvl w:ilvl="2">
      <w:start w:val="1"/>
      <w:numFmt w:val="decimal"/>
      <w:isLgl w:val="false"/>
      <w:suff w:val="tab"/>
      <w:lvlText w:val="5.%2.%3."/>
      <w:lvlJc w:val="left"/>
      <w:pPr>
        <w:ind w:left="720" w:hanging="720"/>
        <w:tabs>
          <w:tab w:val="num" w:pos="720" w:leader="none"/>
        </w:tabs>
      </w:pPr>
      <w:rPr>
        <w:b w:val="0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24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</w:lvl>
    <w:lvl w:ilvl="1">
      <w:start w:val="5"/>
      <w:numFmt w:val="decimal"/>
      <w:isLgl w:val="false"/>
      <w:suff w:val="tab"/>
      <w:lvlText w:val="%1.%2."/>
      <w:lvlJc w:val="left"/>
      <w:pPr>
        <w:ind w:left="360" w:hanging="360"/>
        <w:tabs>
          <w:tab w:val="num" w:pos="360" w:leader="none"/>
        </w:tabs>
      </w:pPr>
      <w:rPr>
        <w:b w:val="0"/>
        <w:i w:val="0"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sz w:val="24"/>
        <w:szCs w:val="24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25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 w:cs="Symbol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8" w:hanging="360"/>
        <w:tabs>
          <w:tab w:val="num" w:pos="1428" w:leader="none"/>
        </w:tabs>
      </w:pPr>
      <w:rPr>
        <w:rFonts w:hint="default" w:ascii="Symbol" w:hAnsi="Symbol" w:cs="Symbol"/>
        <w:sz w:val="22"/>
        <w:szCs w:val="22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788" w:hanging="360"/>
        <w:tabs>
          <w:tab w:val="num" w:pos="1788" w:leader="none"/>
        </w:tabs>
      </w:pPr>
      <w:rPr>
        <w:rFonts w:hint="default" w:ascii="Symbol" w:hAnsi="Symbol" w:cs="Symbol"/>
        <w:sz w:val="22"/>
        <w:szCs w:val="22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705"/>
        <w:tabs>
          <w:tab w:val="num" w:pos="1065" w:leader="none"/>
        </w:tabs>
      </w:pPr>
    </w:lvl>
    <w:lvl w:ilvl="1">
      <w:start w:val="1"/>
      <w:numFmt w:val="decimal"/>
      <w:isLgl w:val="false"/>
      <w:suff w:val="tab"/>
      <w:lvlText w:val="%1.%2."/>
      <w:lvlJc w:val="left"/>
      <w:pPr>
        <w:ind w:left="720" w:hanging="360"/>
        <w:tabs>
          <w:tab w:val="num" w:pos="720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1080" w:hanging="720"/>
        <w:tabs>
          <w:tab w:val="num" w:pos="108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720"/>
        <w:tabs>
          <w:tab w:val="num" w:pos="108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080"/>
        <w:tabs>
          <w:tab w:val="num" w:pos="144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080"/>
        <w:tabs>
          <w:tab w:val="num" w:pos="14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440"/>
        <w:tabs>
          <w:tab w:val="num" w:pos="180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440"/>
        <w:tabs>
          <w:tab w:val="num" w:pos="180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1800"/>
        <w:tabs>
          <w:tab w:val="num" w:pos="2160" w:leader="none"/>
        </w:tabs>
      </w:pPr>
    </w:lvl>
  </w:abstractNum>
  <w:abstractNum w:abstractNumId="2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540" w:hanging="540"/>
        <w:tabs>
          <w:tab w:val="num" w:pos="540" w:leader="none"/>
        </w:tabs>
      </w:pPr>
      <w:rPr>
        <w:sz w:val="24"/>
        <w:szCs w:val="24"/>
      </w:rPr>
    </w:lvl>
    <w:lvl w:ilvl="1">
      <w:start w:val="2"/>
      <w:numFmt w:val="decimal"/>
      <w:isLgl w:val="false"/>
      <w:suff w:val="tab"/>
      <w:lvlText w:val="%1.%2."/>
      <w:lvlJc w:val="left"/>
      <w:pPr>
        <w:ind w:left="540" w:hanging="540"/>
        <w:tabs>
          <w:tab w:val="num" w:pos="540" w:leader="none"/>
        </w:tabs>
      </w:pPr>
      <w:rPr>
        <w:b w:val="0"/>
        <w:bCs/>
        <w:sz w:val="24"/>
        <w:szCs w:val="24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  <w:tabs>
          <w:tab w:val="num" w:pos="72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  <w:tabs>
          <w:tab w:val="num" w:pos="108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  <w:tabs>
          <w:tab w:val="num" w:pos="108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  <w:tabs>
          <w:tab w:val="num" w:pos="144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  <w:tabs>
          <w:tab w:val="num" w:pos="144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  <w:tabs>
          <w:tab w:val="num" w:pos="1800" w:leader="none"/>
        </w:tabs>
      </w:p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2"/>
        <w:szCs w:val="22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abstractNum w:abstractNumId="31">
    <w:multiLevelType w:val="hybridMultilevel"/>
    <w:lvl w:ilvl="0">
      <w:start w:val="6"/>
      <w:numFmt w:val="bullet"/>
      <w:isLgl w:val="false"/>
      <w:suff w:val="tab"/>
      <w:lvlText w:val="-"/>
      <w:lvlJc w:val="left"/>
      <w:pPr>
        <w:ind w:left="720" w:hanging="360"/>
        <w:tabs>
          <w:tab w:val="num" w:pos="72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decimal"/>
      <w:isLgl w:val="false"/>
      <w:suff w:val="tab"/>
      <w:lvlText w:val=""/>
      <w:lvlJc w:val="left"/>
      <w:pPr/>
    </w:lvl>
    <w:lvl w:ilvl="2">
      <w:start w:val="1"/>
      <w:numFmt w:val="decimal"/>
      <w:isLgl w:val="false"/>
      <w:suff w:val="tab"/>
      <w:lvlText w:val=""/>
      <w:lvlJc w:val="left"/>
      <w:pPr/>
    </w:lvl>
    <w:lvl w:ilvl="3">
      <w:start w:val="1"/>
      <w:numFmt w:val="decimal"/>
      <w:isLgl w:val="false"/>
      <w:suff w:val="tab"/>
      <w:lvlText w:val=""/>
      <w:lvlJc w:val="left"/>
      <w:pPr/>
    </w:lvl>
    <w:lvl w:ilvl="4">
      <w:start w:val="1"/>
      <w:numFmt w:val="decimal"/>
      <w:isLgl w:val="false"/>
      <w:suff w:val="tab"/>
      <w:lvlText w:val=""/>
      <w:lvlJc w:val="left"/>
      <w:pPr/>
    </w:lvl>
    <w:lvl w:ilvl="5">
      <w:start w:val="1"/>
      <w:numFmt w:val="decimal"/>
      <w:isLgl w:val="false"/>
      <w:suff w:val="tab"/>
      <w:lvlText w:val=""/>
      <w:lvlJc w:val="left"/>
      <w:pPr/>
    </w:lvl>
    <w:lvl w:ilvl="6">
      <w:start w:val="1"/>
      <w:numFmt w:val="decimal"/>
      <w:isLgl w:val="false"/>
      <w:suff w:val="tab"/>
      <w:lvlText w:val=""/>
      <w:lvlJc w:val="left"/>
      <w:pPr/>
    </w:lvl>
    <w:lvl w:ilvl="7">
      <w:start w:val="1"/>
      <w:numFmt w:val="decimal"/>
      <w:isLgl w:val="false"/>
      <w:suff w:val="tab"/>
      <w:lvlText w:val=""/>
      <w:lvlJc w:val="left"/>
      <w:pPr/>
    </w:lvl>
    <w:lvl w:ilvl="8">
      <w:start w:val="1"/>
      <w:numFmt w:val="decimal"/>
      <w:isLgl w:val="false"/>
      <w:suff w:val="tab"/>
      <w:lvlText w:val=""/>
      <w:lvlJc w:val="left"/>
      <w:pPr/>
    </w:lvl>
  </w:abstractNum>
  <w:num w:numId="1">
    <w:abstractNumId w:val="2"/>
  </w:num>
  <w:num w:numId="2">
    <w:abstractNumId w:val="11"/>
  </w:num>
  <w:num w:numId="3">
    <w:abstractNumId w:val="7"/>
  </w:num>
  <w:num w:numId="4">
    <w:abstractNumId w:val="20"/>
  </w:num>
  <w:num w:numId="5">
    <w:abstractNumId w:val="29"/>
  </w:num>
  <w:num w:numId="6">
    <w:abstractNumId w:val="28"/>
  </w:num>
  <w:num w:numId="7">
    <w:abstractNumId w:val="10"/>
  </w:num>
  <w:num w:numId="8">
    <w:abstractNumId w:val="1"/>
  </w:num>
  <w:num w:numId="9">
    <w:abstractNumId w:val="13"/>
  </w:num>
  <w:num w:numId="10">
    <w:abstractNumId w:val="21"/>
  </w:num>
  <w:num w:numId="11">
    <w:abstractNumId w:val="26"/>
  </w:num>
  <w:num w:numId="12">
    <w:abstractNumId w:val="17"/>
  </w:num>
  <w:num w:numId="13">
    <w:abstractNumId w:val="19"/>
  </w:num>
  <w:num w:numId="14">
    <w:abstractNumId w:val="23"/>
  </w:num>
  <w:num w:numId="15">
    <w:abstractNumId w:val="8"/>
  </w:num>
  <w:num w:numId="16">
    <w:abstractNumId w:val="6"/>
  </w:num>
  <w:num w:numId="17">
    <w:abstractNumId w:val="4"/>
  </w:num>
  <w:num w:numId="18">
    <w:abstractNumId w:val="12"/>
  </w:num>
  <w:num w:numId="19">
    <w:abstractNumId w:val="3"/>
  </w:num>
  <w:num w:numId="20">
    <w:abstractNumId w:val="15"/>
  </w:num>
  <w:num w:numId="21">
    <w:abstractNumId w:val="27"/>
  </w:num>
  <w:num w:numId="22">
    <w:abstractNumId w:val="5"/>
  </w:num>
  <w:num w:numId="23">
    <w:abstractNumId w:val="0"/>
  </w:num>
  <w:num w:numId="24">
    <w:abstractNumId w:val="24"/>
  </w:num>
  <w:num w:numId="25">
    <w:abstractNumId w:val="16"/>
  </w:num>
  <w:num w:numId="26">
    <w:abstractNumId w:val="9"/>
  </w:num>
  <w:num w:numId="27">
    <w:abstractNumId w:val="18"/>
  </w:num>
  <w:num w:numId="28">
    <w:abstractNumId w:val="25"/>
  </w:num>
  <w:num w:numId="29">
    <w:abstractNumId w:val="31"/>
  </w:num>
  <w:num w:numId="30">
    <w:abstractNumId w:val="14"/>
  </w:num>
  <w:num w:numId="31">
    <w:abstractNumId w:val="22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useFELayout w:val="true"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9" w:default="1">
    <w:name w:val="Normal"/>
    <w:pPr>
      <w:spacing w:after="200" w:line="276" w:lineRule="auto"/>
    </w:pPr>
    <w:rPr>
      <w:rFonts w:ascii="Times New Roman" w:hAnsi="Times New Roman" w:eastAsia="Times New Roman" w:cs="Times New Roman"/>
      <w:color w:val="00000a"/>
      <w:sz w:val="24"/>
      <w:szCs w:val="24"/>
      <w:lang w:eastAsia="zh-CN"/>
    </w:rPr>
  </w:style>
  <w:style w:type="paragraph" w:styleId="720">
    <w:name w:val="Heading 1"/>
    <w:basedOn w:val="719"/>
    <w:link w:val="750"/>
    <w:pPr>
      <w:keepNext/>
      <w:spacing w:before="240" w:after="60"/>
      <w:widowControl w:val="off"/>
      <w:outlineLvl w:val="0"/>
    </w:pPr>
    <w:rPr>
      <w:rFonts w:ascii="Arial" w:hAnsi="Arial" w:cs="Arial"/>
      <w:b/>
      <w:bCs/>
      <w:sz w:val="32"/>
      <w:szCs w:val="32"/>
    </w:rPr>
  </w:style>
  <w:style w:type="paragraph" w:styleId="721">
    <w:name w:val="Heading 2"/>
    <w:basedOn w:val="719"/>
    <w:link w:val="751"/>
    <w:pPr>
      <w:jc w:val="right"/>
      <w:keepNext/>
      <w:outlineLvl w:val="1"/>
    </w:pPr>
    <w:rPr>
      <w:rFonts w:ascii="Arial" w:hAnsi="Arial" w:cs="Arial"/>
      <w:b/>
      <w:bCs/>
      <w:sz w:val="17"/>
      <w:szCs w:val="17"/>
    </w:rPr>
  </w:style>
  <w:style w:type="paragraph" w:styleId="722">
    <w:name w:val="Heading 3"/>
    <w:basedOn w:val="719"/>
    <w:link w:val="752"/>
    <w:pPr>
      <w:keepNext/>
      <w:spacing w:before="120" w:after="120"/>
      <w:outlineLvl w:val="2"/>
    </w:pPr>
    <w:rPr>
      <w:b/>
      <w:sz w:val="28"/>
      <w:szCs w:val="20"/>
    </w:rPr>
  </w:style>
  <w:style w:type="paragraph" w:styleId="723">
    <w:name w:val="Heading 4"/>
    <w:basedOn w:val="719"/>
    <w:next w:val="719"/>
    <w:link w:val="753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24">
    <w:name w:val="Heading 5"/>
    <w:basedOn w:val="719"/>
    <w:link w:val="75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25">
    <w:name w:val="Heading 6"/>
    <w:basedOn w:val="719"/>
    <w:next w:val="719"/>
    <w:link w:val="755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26">
    <w:name w:val="Heading 7"/>
    <w:basedOn w:val="719"/>
    <w:next w:val="719"/>
    <w:link w:val="75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27">
    <w:name w:val="Heading 8"/>
    <w:basedOn w:val="719"/>
    <w:next w:val="719"/>
    <w:link w:val="75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28">
    <w:name w:val="Heading 9"/>
    <w:basedOn w:val="719"/>
    <w:next w:val="719"/>
    <w:link w:val="75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9" w:default="1">
    <w:name w:val="Default Paragraph Font"/>
    <w:uiPriority w:val="1"/>
    <w:semiHidden/>
    <w:unhideWhenUsed/>
  </w:style>
  <w:style w:type="table" w:styleId="73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1" w:default="1">
    <w:name w:val="No List"/>
    <w:uiPriority w:val="99"/>
    <w:semiHidden/>
    <w:unhideWhenUsed/>
  </w:style>
  <w:style w:type="character" w:styleId="732" w:customStyle="1">
    <w:name w:val="Heading 1 Char"/>
    <w:basedOn w:val="72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33" w:customStyle="1">
    <w:name w:val="Heading 2 Char"/>
    <w:basedOn w:val="729"/>
    <w:uiPriority w:val="9"/>
    <w:rPr>
      <w:rFonts w:ascii="Liberation Sans" w:hAnsi="Liberation Sans" w:eastAsia="Liberation Sans" w:cs="Liberation Sans"/>
      <w:sz w:val="34"/>
    </w:rPr>
  </w:style>
  <w:style w:type="character" w:styleId="734" w:customStyle="1">
    <w:name w:val="Heading 3 Char"/>
    <w:basedOn w:val="729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5" w:customStyle="1">
    <w:name w:val="Heading 4 Char"/>
    <w:basedOn w:val="729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6" w:customStyle="1">
    <w:name w:val="Heading 5 Char"/>
    <w:basedOn w:val="729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7" w:customStyle="1">
    <w:name w:val="Heading 6 Char"/>
    <w:basedOn w:val="729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8" w:customStyle="1">
    <w:name w:val="Heading 7 Char"/>
    <w:basedOn w:val="72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9" w:customStyle="1">
    <w:name w:val="Heading 8 Char"/>
    <w:basedOn w:val="72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40" w:customStyle="1">
    <w:name w:val="Heading 9 Char"/>
    <w:basedOn w:val="729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41" w:customStyle="1">
    <w:name w:val="Title Char"/>
    <w:basedOn w:val="729"/>
    <w:uiPriority w:val="10"/>
    <w:rPr>
      <w:sz w:val="48"/>
      <w:szCs w:val="48"/>
    </w:rPr>
  </w:style>
  <w:style w:type="character" w:styleId="742" w:customStyle="1">
    <w:name w:val="Subtitle Char"/>
    <w:basedOn w:val="729"/>
    <w:uiPriority w:val="11"/>
    <w:rPr>
      <w:sz w:val="24"/>
      <w:szCs w:val="24"/>
    </w:rPr>
  </w:style>
  <w:style w:type="character" w:styleId="743" w:customStyle="1">
    <w:name w:val="Quote Char"/>
    <w:uiPriority w:val="29"/>
    <w:rPr>
      <w:i/>
    </w:rPr>
  </w:style>
  <w:style w:type="character" w:styleId="744" w:customStyle="1">
    <w:name w:val="Intense Quote Char"/>
    <w:uiPriority w:val="30"/>
    <w:rPr>
      <w:i/>
    </w:rPr>
  </w:style>
  <w:style w:type="character" w:styleId="745" w:customStyle="1">
    <w:name w:val="Header Char"/>
    <w:basedOn w:val="729"/>
    <w:uiPriority w:val="99"/>
  </w:style>
  <w:style w:type="character" w:styleId="746" w:customStyle="1">
    <w:name w:val="Footer Char"/>
    <w:basedOn w:val="729"/>
    <w:uiPriority w:val="99"/>
  </w:style>
  <w:style w:type="character" w:styleId="747" w:customStyle="1">
    <w:name w:val="Caption Char"/>
    <w:basedOn w:val="729"/>
    <w:uiPriority w:val="35"/>
    <w:rPr>
      <w:b/>
      <w:bCs/>
      <w:color w:val="5b9bd5" w:themeColor="accent1"/>
      <w:sz w:val="18"/>
      <w:szCs w:val="18"/>
    </w:rPr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Заголовок 1 Знак"/>
    <w:basedOn w:val="729"/>
    <w:link w:val="720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Заголовок 2 Знак"/>
    <w:basedOn w:val="729"/>
    <w:link w:val="721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1"/>
    <w:basedOn w:val="729"/>
    <w:link w:val="722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Заголовок 4 Знак"/>
    <w:basedOn w:val="729"/>
    <w:link w:val="723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basedOn w:val="729"/>
    <w:link w:val="724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basedOn w:val="72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basedOn w:val="729"/>
    <w:link w:val="72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basedOn w:val="729"/>
    <w:link w:val="727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basedOn w:val="729"/>
    <w:link w:val="728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No Spacing"/>
    <w:uiPriority w:val="1"/>
    <w:qFormat/>
    <w:pPr>
      <w:spacing w:after="0" w:line="240" w:lineRule="auto"/>
    </w:pPr>
  </w:style>
  <w:style w:type="character" w:styleId="760" w:customStyle="1">
    <w:name w:val="Название Знак1"/>
    <w:basedOn w:val="729"/>
    <w:link w:val="1412"/>
    <w:uiPriority w:val="10"/>
    <w:rPr>
      <w:sz w:val="48"/>
      <w:szCs w:val="48"/>
    </w:rPr>
  </w:style>
  <w:style w:type="paragraph" w:styleId="761">
    <w:name w:val="Subtitle"/>
    <w:basedOn w:val="719"/>
    <w:next w:val="719"/>
    <w:link w:val="762"/>
    <w:uiPriority w:val="11"/>
    <w:qFormat/>
    <w:pPr>
      <w:spacing w:before="200"/>
    </w:pPr>
  </w:style>
  <w:style w:type="character" w:styleId="762" w:customStyle="1">
    <w:name w:val="Подзаголовок Знак"/>
    <w:basedOn w:val="729"/>
    <w:link w:val="761"/>
    <w:uiPriority w:val="11"/>
    <w:rPr>
      <w:sz w:val="24"/>
      <w:szCs w:val="24"/>
    </w:rPr>
  </w:style>
  <w:style w:type="paragraph" w:styleId="763">
    <w:name w:val="Quote"/>
    <w:basedOn w:val="719"/>
    <w:next w:val="719"/>
    <w:link w:val="764"/>
    <w:uiPriority w:val="29"/>
    <w:qFormat/>
    <w:pPr>
      <w:ind w:left="720" w:right="720"/>
    </w:pPr>
    <w:rPr>
      <w:i/>
    </w:rPr>
  </w:style>
  <w:style w:type="character" w:styleId="764" w:customStyle="1">
    <w:name w:val="Цитата 2 Знак"/>
    <w:link w:val="763"/>
    <w:uiPriority w:val="29"/>
    <w:rPr>
      <w:i/>
    </w:rPr>
  </w:style>
  <w:style w:type="paragraph" w:styleId="765">
    <w:name w:val="Intense Quote"/>
    <w:basedOn w:val="719"/>
    <w:next w:val="719"/>
    <w:link w:val="7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 w:customStyle="1">
    <w:name w:val="Выделенная цитата Знак"/>
    <w:link w:val="765"/>
    <w:uiPriority w:val="30"/>
    <w:rPr>
      <w:i/>
    </w:rPr>
  </w:style>
  <w:style w:type="character" w:styleId="767" w:customStyle="1">
    <w:name w:val="Верхний колонтитул Знак"/>
    <w:basedOn w:val="729"/>
    <w:link w:val="1422"/>
    <w:uiPriority w:val="99"/>
  </w:style>
  <w:style w:type="character" w:styleId="768" w:customStyle="1">
    <w:name w:val="Нижний колонтитул Знак"/>
    <w:basedOn w:val="729"/>
    <w:link w:val="1423"/>
    <w:uiPriority w:val="99"/>
  </w:style>
  <w:style w:type="character" w:styleId="769" w:customStyle="1">
    <w:name w:val="Название объекта Знак"/>
    <w:basedOn w:val="729"/>
    <w:link w:val="1425"/>
    <w:uiPriority w:val="35"/>
    <w:rPr>
      <w:b/>
      <w:bCs/>
      <w:color w:val="5b9bd5" w:themeColor="accent1"/>
      <w:sz w:val="18"/>
      <w:szCs w:val="18"/>
    </w:rPr>
  </w:style>
  <w:style w:type="table" w:styleId="770" w:customStyle="1">
    <w:name w:val="Table Grid Light"/>
    <w:basedOn w:val="73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1">
    <w:name w:val="Plain Table 1"/>
    <w:basedOn w:val="730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2">
    <w:name w:val="Plain Table 2"/>
    <w:basedOn w:val="730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3">
    <w:name w:val="Plain Table 3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4">
    <w:name w:val="Plain Table 4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Plain Table 5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6">
    <w:name w:val="Grid Table 1 Light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1 Light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Grid Table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Grid Table 2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Grid Table 2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Grid Table 2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3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3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3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4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98" w:customStyle="1">
    <w:name w:val="Grid Table 4 - Accent 1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99" w:customStyle="1">
    <w:name w:val="Grid Table 4 - Accent 2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0" w:customStyle="1">
    <w:name w:val="Grid Table 4 - Accent 3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1" w:customStyle="1">
    <w:name w:val="Grid Table 4 - Accent 4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2" w:customStyle="1">
    <w:name w:val="Grid Table 4 - Accent 5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3" w:customStyle="1">
    <w:name w:val="Grid Table 4 - Accent 6"/>
    <w:basedOn w:val="730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4">
    <w:name w:val="Grid Table 5 Dark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5" w:customStyle="1">
    <w:name w:val="Grid Table 5 Dark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6" w:customStyle="1">
    <w:name w:val="Grid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07" w:customStyle="1">
    <w:name w:val="Grid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1">
    <w:name w:val="Grid Table 6 Colorful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2" w:customStyle="1">
    <w:name w:val="Grid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3" w:customStyle="1">
    <w:name w:val="Grid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4" w:customStyle="1">
    <w:name w:val="Grid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5" w:customStyle="1">
    <w:name w:val="Grid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6" w:customStyle="1">
    <w:name w:val="Grid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7" w:customStyle="1">
    <w:name w:val="Grid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18">
    <w:name w:val="Grid Table 7 Colorful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 w:customStyle="1">
    <w:name w:val="Grid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 w:customStyle="1">
    <w:name w:val="Grid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1" w:customStyle="1">
    <w:name w:val="Grid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List Table 1 Light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1 Light - Accent 1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1 Light - Accent 2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1 Light - Accent 3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4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5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6"/>
    <w:basedOn w:val="730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List Table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3" w:customStyle="1">
    <w:name w:val="List Table 2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4" w:customStyle="1">
    <w:name w:val="List Table 2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5" w:customStyle="1">
    <w:name w:val="List Table 2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39">
    <w:name w:val="List Table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3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>
    <w:name w:val="List Table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4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>
    <w:name w:val="List Table 5 Dark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4" w:customStyle="1">
    <w:name w:val="List Table 5 Dark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5" w:customStyle="1">
    <w:name w:val="List Table 5 Dark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6" w:customStyle="1">
    <w:name w:val="List Table 5 Dark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>
    <w:name w:val="List Table 6 Colorful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1" w:customStyle="1">
    <w:name w:val="List Table 6 Colorful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2" w:customStyle="1">
    <w:name w:val="List Table 6 Colorful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3" w:customStyle="1">
    <w:name w:val="List Table 6 Colorful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4" w:customStyle="1">
    <w:name w:val="List Table 6 Colorful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5" w:customStyle="1">
    <w:name w:val="List Table 6 Colorful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6" w:customStyle="1">
    <w:name w:val="List Table 6 Colorful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67">
    <w:name w:val="List Table 7 Colorful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 w:customStyle="1">
    <w:name w:val="List Table 7 Colorful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List Table 7 Colorful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List Table 7 Colorful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ned - Accent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5" w:customStyle="1">
    <w:name w:val="Lined - Accent 1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6" w:customStyle="1">
    <w:name w:val="Lined - Accent 2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77" w:customStyle="1">
    <w:name w:val="Lined - Accent 3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78" w:customStyle="1">
    <w:name w:val="Lined - Accent 4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79" w:customStyle="1">
    <w:name w:val="Lined - Accent 5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0" w:customStyle="1">
    <w:name w:val="Lined - Accent 6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1" w:customStyle="1">
    <w:name w:val="Bordered &amp; Lined - Accent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2" w:customStyle="1">
    <w:name w:val="Bordered &amp; Lined - Accent 1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3" w:customStyle="1">
    <w:name w:val="Bordered &amp; Lined - Accent 2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4" w:customStyle="1">
    <w:name w:val="Bordered &amp; Lined - Accent 3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5" w:customStyle="1">
    <w:name w:val="Bordered &amp; Lined - Accent 4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6" w:customStyle="1">
    <w:name w:val="Bordered &amp; Lined - Accent 5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7" w:customStyle="1">
    <w:name w:val="Bordered &amp; Lined - Accent 6"/>
    <w:basedOn w:val="730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8" w:customStyle="1">
    <w:name w:val="Bordered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89" w:customStyle="1">
    <w:name w:val="Bordered - Accent 1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0" w:customStyle="1">
    <w:name w:val="Bordered - Accent 2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1" w:customStyle="1">
    <w:name w:val="Bordered - Accent 3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2" w:customStyle="1">
    <w:name w:val="Bordered - Accent 4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3" w:customStyle="1">
    <w:name w:val="Bordered - Accent 5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4" w:customStyle="1">
    <w:name w:val="Bordered - Accent 6"/>
    <w:basedOn w:val="730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95">
    <w:name w:val="Hyperlink"/>
    <w:uiPriority w:val="99"/>
    <w:unhideWhenUsed/>
    <w:rPr>
      <w:color w:val="0563c1" w:themeColor="hyperlink"/>
      <w:u w:val="single"/>
    </w:rPr>
  </w:style>
  <w:style w:type="character" w:styleId="896" w:customStyle="1">
    <w:name w:val="Текст сноски Знак1"/>
    <w:link w:val="1435"/>
    <w:uiPriority w:val="99"/>
    <w:rPr>
      <w:sz w:val="18"/>
    </w:rPr>
  </w:style>
  <w:style w:type="character" w:styleId="897" w:customStyle="1">
    <w:name w:val="Текст концевой сноски Знак1"/>
    <w:link w:val="1436"/>
    <w:uiPriority w:val="99"/>
    <w:rPr>
      <w:sz w:val="20"/>
    </w:rPr>
  </w:style>
  <w:style w:type="paragraph" w:styleId="898">
    <w:name w:val="toc 1"/>
    <w:basedOn w:val="719"/>
    <w:next w:val="719"/>
    <w:uiPriority w:val="39"/>
    <w:unhideWhenUsed/>
    <w:pPr>
      <w:spacing w:after="57"/>
    </w:pPr>
  </w:style>
  <w:style w:type="paragraph" w:styleId="899">
    <w:name w:val="toc 2"/>
    <w:basedOn w:val="719"/>
    <w:next w:val="719"/>
    <w:uiPriority w:val="39"/>
    <w:unhideWhenUsed/>
    <w:pPr>
      <w:ind w:left="283"/>
      <w:spacing w:after="57"/>
    </w:pPr>
  </w:style>
  <w:style w:type="paragraph" w:styleId="900">
    <w:name w:val="toc 3"/>
    <w:basedOn w:val="719"/>
    <w:next w:val="719"/>
    <w:uiPriority w:val="39"/>
    <w:unhideWhenUsed/>
    <w:pPr>
      <w:ind w:left="567"/>
      <w:spacing w:after="57"/>
    </w:pPr>
  </w:style>
  <w:style w:type="paragraph" w:styleId="901">
    <w:name w:val="toc 4"/>
    <w:basedOn w:val="719"/>
    <w:next w:val="719"/>
    <w:uiPriority w:val="39"/>
    <w:unhideWhenUsed/>
    <w:pPr>
      <w:ind w:left="850"/>
      <w:spacing w:after="57"/>
    </w:pPr>
  </w:style>
  <w:style w:type="paragraph" w:styleId="902">
    <w:name w:val="toc 5"/>
    <w:basedOn w:val="719"/>
    <w:next w:val="719"/>
    <w:uiPriority w:val="39"/>
    <w:unhideWhenUsed/>
    <w:pPr>
      <w:ind w:left="1134"/>
      <w:spacing w:after="57"/>
    </w:pPr>
  </w:style>
  <w:style w:type="paragraph" w:styleId="903">
    <w:name w:val="toc 6"/>
    <w:basedOn w:val="719"/>
    <w:next w:val="719"/>
    <w:uiPriority w:val="39"/>
    <w:unhideWhenUsed/>
    <w:pPr>
      <w:ind w:left="1417"/>
      <w:spacing w:after="57"/>
    </w:pPr>
  </w:style>
  <w:style w:type="paragraph" w:styleId="904">
    <w:name w:val="toc 7"/>
    <w:basedOn w:val="719"/>
    <w:next w:val="719"/>
    <w:uiPriority w:val="39"/>
    <w:unhideWhenUsed/>
    <w:pPr>
      <w:ind w:left="1701"/>
      <w:spacing w:after="57"/>
    </w:pPr>
  </w:style>
  <w:style w:type="paragraph" w:styleId="905">
    <w:name w:val="toc 8"/>
    <w:basedOn w:val="719"/>
    <w:next w:val="719"/>
    <w:uiPriority w:val="39"/>
    <w:unhideWhenUsed/>
    <w:pPr>
      <w:ind w:left="1984"/>
      <w:spacing w:after="57"/>
    </w:pPr>
  </w:style>
  <w:style w:type="paragraph" w:styleId="906">
    <w:name w:val="toc 9"/>
    <w:basedOn w:val="719"/>
    <w:next w:val="719"/>
    <w:uiPriority w:val="39"/>
    <w:unhideWhenUsed/>
    <w:pPr>
      <w:ind w:left="2268"/>
      <w:spacing w:after="57"/>
    </w:pPr>
  </w:style>
  <w:style w:type="paragraph" w:styleId="907">
    <w:name w:val="TOC Heading"/>
    <w:uiPriority w:val="39"/>
    <w:unhideWhenUsed/>
  </w:style>
  <w:style w:type="paragraph" w:styleId="908">
    <w:name w:val="table of figures"/>
    <w:basedOn w:val="719"/>
    <w:next w:val="719"/>
    <w:uiPriority w:val="99"/>
    <w:unhideWhenUsed/>
    <w:pPr>
      <w:spacing w:after="0"/>
    </w:pPr>
  </w:style>
  <w:style w:type="character" w:styleId="909" w:customStyle="1">
    <w:name w:val="WW8Num1z0"/>
  </w:style>
  <w:style w:type="character" w:styleId="910" w:customStyle="1">
    <w:name w:val="WW8Num1z1"/>
  </w:style>
  <w:style w:type="character" w:styleId="911" w:customStyle="1">
    <w:name w:val="WW8Num1z2"/>
  </w:style>
  <w:style w:type="character" w:styleId="912" w:customStyle="1">
    <w:name w:val="WW8Num1z3"/>
  </w:style>
  <w:style w:type="character" w:styleId="913" w:customStyle="1">
    <w:name w:val="WW8Num1z4"/>
  </w:style>
  <w:style w:type="character" w:styleId="914" w:customStyle="1">
    <w:name w:val="WW8Num1z5"/>
  </w:style>
  <w:style w:type="character" w:styleId="915" w:customStyle="1">
    <w:name w:val="WW8Num1z6"/>
  </w:style>
  <w:style w:type="character" w:styleId="916" w:customStyle="1">
    <w:name w:val="WW8Num1z7"/>
  </w:style>
  <w:style w:type="character" w:styleId="917" w:customStyle="1">
    <w:name w:val="WW8Num1z8"/>
  </w:style>
  <w:style w:type="character" w:styleId="918" w:customStyle="1">
    <w:name w:val="WW8Num2z0"/>
    <w:rPr>
      <w:color w:val="000000"/>
      <w:sz w:val="22"/>
      <w:szCs w:val="22"/>
    </w:rPr>
  </w:style>
  <w:style w:type="character" w:styleId="919" w:customStyle="1">
    <w:name w:val="WW8Num2z1"/>
  </w:style>
  <w:style w:type="character" w:styleId="920" w:customStyle="1">
    <w:name w:val="WW8Num2z2"/>
  </w:style>
  <w:style w:type="character" w:styleId="921" w:customStyle="1">
    <w:name w:val="WW8Num2z3"/>
  </w:style>
  <w:style w:type="character" w:styleId="922" w:customStyle="1">
    <w:name w:val="WW8Num2z4"/>
  </w:style>
  <w:style w:type="character" w:styleId="923" w:customStyle="1">
    <w:name w:val="WW8Num2z5"/>
  </w:style>
  <w:style w:type="character" w:styleId="924" w:customStyle="1">
    <w:name w:val="WW8Num2z6"/>
  </w:style>
  <w:style w:type="character" w:styleId="925" w:customStyle="1">
    <w:name w:val="WW8Num2z7"/>
  </w:style>
  <w:style w:type="character" w:styleId="926" w:customStyle="1">
    <w:name w:val="WW8Num2z8"/>
  </w:style>
  <w:style w:type="character" w:styleId="927" w:customStyle="1">
    <w:name w:val="WW8Num3z0"/>
    <w:rPr>
      <w:sz w:val="22"/>
      <w:szCs w:val="22"/>
    </w:rPr>
  </w:style>
  <w:style w:type="character" w:styleId="928" w:customStyle="1">
    <w:name w:val="WW8Num3z1"/>
    <w:rPr>
      <w:b w:val="0"/>
      <w:bCs/>
      <w:i/>
      <w:sz w:val="22"/>
      <w:szCs w:val="22"/>
    </w:rPr>
  </w:style>
  <w:style w:type="character" w:styleId="929" w:customStyle="1">
    <w:name w:val="WW8Num3z2"/>
    <w:rPr>
      <w:sz w:val="22"/>
      <w:szCs w:val="22"/>
    </w:rPr>
  </w:style>
  <w:style w:type="character" w:styleId="930" w:customStyle="1">
    <w:name w:val="WW8Num3z3"/>
  </w:style>
  <w:style w:type="character" w:styleId="931" w:customStyle="1">
    <w:name w:val="WW8Num3z4"/>
  </w:style>
  <w:style w:type="character" w:styleId="932" w:customStyle="1">
    <w:name w:val="WW8Num3z5"/>
  </w:style>
  <w:style w:type="character" w:styleId="933" w:customStyle="1">
    <w:name w:val="WW8Num3z6"/>
  </w:style>
  <w:style w:type="character" w:styleId="934" w:customStyle="1">
    <w:name w:val="WW8Num3z7"/>
  </w:style>
  <w:style w:type="character" w:styleId="935" w:customStyle="1">
    <w:name w:val="WW8Num3z8"/>
  </w:style>
  <w:style w:type="character" w:styleId="936" w:customStyle="1">
    <w:name w:val="WW8Num4z0"/>
  </w:style>
  <w:style w:type="character" w:styleId="937" w:customStyle="1">
    <w:name w:val="WW8Num4z1"/>
  </w:style>
  <w:style w:type="character" w:styleId="938" w:customStyle="1">
    <w:name w:val="WW8Num4z2"/>
  </w:style>
  <w:style w:type="character" w:styleId="939" w:customStyle="1">
    <w:name w:val="WW8Num4z3"/>
  </w:style>
  <w:style w:type="character" w:styleId="940" w:customStyle="1">
    <w:name w:val="WW8Num4z4"/>
  </w:style>
  <w:style w:type="character" w:styleId="941" w:customStyle="1">
    <w:name w:val="WW8Num4z5"/>
  </w:style>
  <w:style w:type="character" w:styleId="942" w:customStyle="1">
    <w:name w:val="WW8Num4z6"/>
  </w:style>
  <w:style w:type="character" w:styleId="943" w:customStyle="1">
    <w:name w:val="WW8Num4z7"/>
  </w:style>
  <w:style w:type="character" w:styleId="944" w:customStyle="1">
    <w:name w:val="WW8Num4z8"/>
  </w:style>
  <w:style w:type="character" w:styleId="945" w:customStyle="1">
    <w:name w:val="WW8Num5z0"/>
    <w:rPr>
      <w:b/>
    </w:rPr>
  </w:style>
  <w:style w:type="character" w:styleId="946" w:customStyle="1">
    <w:name w:val="WW8Num5z1"/>
  </w:style>
  <w:style w:type="character" w:styleId="947" w:customStyle="1">
    <w:name w:val="WW8Num5z2"/>
  </w:style>
  <w:style w:type="character" w:styleId="948" w:customStyle="1">
    <w:name w:val="WW8Num5z3"/>
  </w:style>
  <w:style w:type="character" w:styleId="949" w:customStyle="1">
    <w:name w:val="WW8Num5z4"/>
  </w:style>
  <w:style w:type="character" w:styleId="950" w:customStyle="1">
    <w:name w:val="WW8Num5z5"/>
  </w:style>
  <w:style w:type="character" w:styleId="951" w:customStyle="1">
    <w:name w:val="WW8Num5z6"/>
  </w:style>
  <w:style w:type="character" w:styleId="952" w:customStyle="1">
    <w:name w:val="WW8Num5z7"/>
  </w:style>
  <w:style w:type="character" w:styleId="953" w:customStyle="1">
    <w:name w:val="WW8Num5z8"/>
  </w:style>
  <w:style w:type="character" w:styleId="954" w:customStyle="1">
    <w:name w:val="WW8Num6z0"/>
    <w:rPr>
      <w:rFonts w:ascii="Symbol" w:hAnsi="Symbol" w:cs="Symbol"/>
      <w:sz w:val="22"/>
      <w:szCs w:val="22"/>
    </w:rPr>
  </w:style>
  <w:style w:type="character" w:styleId="955" w:customStyle="1">
    <w:name w:val="WW8Num6z1"/>
    <w:rPr>
      <w:rFonts w:ascii="Courier New" w:hAnsi="Courier New" w:cs="Courier New"/>
    </w:rPr>
  </w:style>
  <w:style w:type="character" w:styleId="956" w:customStyle="1">
    <w:name w:val="WW8Num6z2"/>
    <w:rPr>
      <w:rFonts w:ascii="Wingdings" w:hAnsi="Wingdings" w:cs="Wingdings"/>
    </w:rPr>
  </w:style>
  <w:style w:type="character" w:styleId="957" w:customStyle="1">
    <w:name w:val="WW8Num7z0"/>
  </w:style>
  <w:style w:type="character" w:styleId="958" w:customStyle="1">
    <w:name w:val="WW8Num7z1"/>
  </w:style>
  <w:style w:type="character" w:styleId="959" w:customStyle="1">
    <w:name w:val="WW8Num7z2"/>
  </w:style>
  <w:style w:type="character" w:styleId="960" w:customStyle="1">
    <w:name w:val="WW8Num7z3"/>
  </w:style>
  <w:style w:type="character" w:styleId="961" w:customStyle="1">
    <w:name w:val="WW8Num7z4"/>
  </w:style>
  <w:style w:type="character" w:styleId="962" w:customStyle="1">
    <w:name w:val="WW8Num7z5"/>
  </w:style>
  <w:style w:type="character" w:styleId="963" w:customStyle="1">
    <w:name w:val="WW8Num7z6"/>
  </w:style>
  <w:style w:type="character" w:styleId="964" w:customStyle="1">
    <w:name w:val="WW8Num7z7"/>
  </w:style>
  <w:style w:type="character" w:styleId="965" w:customStyle="1">
    <w:name w:val="WW8Num7z8"/>
  </w:style>
  <w:style w:type="character" w:styleId="966" w:customStyle="1">
    <w:name w:val="WW8Num8z0"/>
  </w:style>
  <w:style w:type="character" w:styleId="967" w:customStyle="1">
    <w:name w:val="WW8Num8z1"/>
  </w:style>
  <w:style w:type="character" w:styleId="968" w:customStyle="1">
    <w:name w:val="WW8Num8z2"/>
  </w:style>
  <w:style w:type="character" w:styleId="969" w:customStyle="1">
    <w:name w:val="WW8Num8z3"/>
  </w:style>
  <w:style w:type="character" w:styleId="970" w:customStyle="1">
    <w:name w:val="WW8Num8z4"/>
  </w:style>
  <w:style w:type="character" w:styleId="971" w:customStyle="1">
    <w:name w:val="WW8Num8z5"/>
  </w:style>
  <w:style w:type="character" w:styleId="972" w:customStyle="1">
    <w:name w:val="WW8Num8z6"/>
  </w:style>
  <w:style w:type="character" w:styleId="973" w:customStyle="1">
    <w:name w:val="WW8Num8z7"/>
  </w:style>
  <w:style w:type="character" w:styleId="974" w:customStyle="1">
    <w:name w:val="WW8Num8z8"/>
  </w:style>
  <w:style w:type="character" w:styleId="975" w:customStyle="1">
    <w:name w:val="WW8Num9z0"/>
    <w:rPr>
      <w:color w:val="000000"/>
    </w:rPr>
  </w:style>
  <w:style w:type="character" w:styleId="976" w:customStyle="1">
    <w:name w:val="WW8Num9z1"/>
  </w:style>
  <w:style w:type="character" w:styleId="977" w:customStyle="1">
    <w:name w:val="WW8Num9z2"/>
  </w:style>
  <w:style w:type="character" w:styleId="978" w:customStyle="1">
    <w:name w:val="WW8Num9z3"/>
  </w:style>
  <w:style w:type="character" w:styleId="979" w:customStyle="1">
    <w:name w:val="WW8Num9z4"/>
  </w:style>
  <w:style w:type="character" w:styleId="980" w:customStyle="1">
    <w:name w:val="WW8Num9z5"/>
  </w:style>
  <w:style w:type="character" w:styleId="981" w:customStyle="1">
    <w:name w:val="WW8Num9z6"/>
  </w:style>
  <w:style w:type="character" w:styleId="982" w:customStyle="1">
    <w:name w:val="WW8Num9z7"/>
  </w:style>
  <w:style w:type="character" w:styleId="983" w:customStyle="1">
    <w:name w:val="WW8Num9z8"/>
  </w:style>
  <w:style w:type="character" w:styleId="984" w:customStyle="1">
    <w:name w:val="WW8Num10z0"/>
  </w:style>
  <w:style w:type="character" w:styleId="985" w:customStyle="1">
    <w:name w:val="WW8Num10z1"/>
  </w:style>
  <w:style w:type="character" w:styleId="986" w:customStyle="1">
    <w:name w:val="WW8Num10z2"/>
  </w:style>
  <w:style w:type="character" w:styleId="987" w:customStyle="1">
    <w:name w:val="WW8Num10z3"/>
  </w:style>
  <w:style w:type="character" w:styleId="988" w:customStyle="1">
    <w:name w:val="WW8Num10z4"/>
  </w:style>
  <w:style w:type="character" w:styleId="989" w:customStyle="1">
    <w:name w:val="WW8Num10z5"/>
  </w:style>
  <w:style w:type="character" w:styleId="990" w:customStyle="1">
    <w:name w:val="WW8Num10z6"/>
  </w:style>
  <w:style w:type="character" w:styleId="991" w:customStyle="1">
    <w:name w:val="WW8Num10z7"/>
  </w:style>
  <w:style w:type="character" w:styleId="992" w:customStyle="1">
    <w:name w:val="WW8Num10z8"/>
  </w:style>
  <w:style w:type="character" w:styleId="993" w:customStyle="1">
    <w:name w:val="WW8Num11z0"/>
  </w:style>
  <w:style w:type="character" w:styleId="994" w:customStyle="1">
    <w:name w:val="WW8Num11z1"/>
  </w:style>
  <w:style w:type="character" w:styleId="995" w:customStyle="1">
    <w:name w:val="WW8Num11z2"/>
    <w:rPr>
      <w:b w:val="0"/>
    </w:rPr>
  </w:style>
  <w:style w:type="character" w:styleId="996" w:customStyle="1">
    <w:name w:val="WW8Num11z3"/>
  </w:style>
  <w:style w:type="character" w:styleId="997" w:customStyle="1">
    <w:name w:val="WW8Num11z4"/>
  </w:style>
  <w:style w:type="character" w:styleId="998" w:customStyle="1">
    <w:name w:val="WW8Num11z5"/>
  </w:style>
  <w:style w:type="character" w:styleId="999" w:customStyle="1">
    <w:name w:val="WW8Num11z6"/>
  </w:style>
  <w:style w:type="character" w:styleId="1000" w:customStyle="1">
    <w:name w:val="WW8Num11z7"/>
  </w:style>
  <w:style w:type="character" w:styleId="1001" w:customStyle="1">
    <w:name w:val="WW8Num11z8"/>
  </w:style>
  <w:style w:type="character" w:styleId="1002" w:customStyle="1">
    <w:name w:val="WW8Num12z0"/>
    <w:rPr>
      <w:rFonts w:ascii="Symbol" w:hAnsi="Symbol" w:cs="Symbol"/>
    </w:rPr>
  </w:style>
  <w:style w:type="character" w:styleId="1003" w:customStyle="1">
    <w:name w:val="WW8Num12z1"/>
  </w:style>
  <w:style w:type="character" w:styleId="1004" w:customStyle="1">
    <w:name w:val="WW8Num12z2"/>
    <w:rPr>
      <w:rFonts w:ascii="Wingdings" w:hAnsi="Wingdings" w:cs="Wingdings"/>
    </w:rPr>
  </w:style>
  <w:style w:type="character" w:styleId="1005" w:customStyle="1">
    <w:name w:val="WW8Num12z4"/>
    <w:rPr>
      <w:rFonts w:ascii="Courier New" w:hAnsi="Courier New" w:cs="Courier New"/>
    </w:rPr>
  </w:style>
  <w:style w:type="character" w:styleId="1006" w:customStyle="1">
    <w:name w:val="WW8Num13z0"/>
  </w:style>
  <w:style w:type="character" w:styleId="1007" w:customStyle="1">
    <w:name w:val="WW8Num13z1"/>
    <w:rPr>
      <w:b w:val="0"/>
      <w:sz w:val="22"/>
      <w:szCs w:val="22"/>
    </w:rPr>
  </w:style>
  <w:style w:type="character" w:styleId="1008" w:customStyle="1">
    <w:name w:val="WW8Num13z2"/>
  </w:style>
  <w:style w:type="character" w:styleId="1009" w:customStyle="1">
    <w:name w:val="WW8Num13z3"/>
  </w:style>
  <w:style w:type="character" w:styleId="1010" w:customStyle="1">
    <w:name w:val="WW8Num13z4"/>
  </w:style>
  <w:style w:type="character" w:styleId="1011" w:customStyle="1">
    <w:name w:val="WW8Num13z5"/>
  </w:style>
  <w:style w:type="character" w:styleId="1012" w:customStyle="1">
    <w:name w:val="WW8Num13z6"/>
  </w:style>
  <w:style w:type="character" w:styleId="1013" w:customStyle="1">
    <w:name w:val="WW8Num13z7"/>
  </w:style>
  <w:style w:type="character" w:styleId="1014" w:customStyle="1">
    <w:name w:val="WW8Num13z8"/>
  </w:style>
  <w:style w:type="character" w:styleId="1015" w:customStyle="1">
    <w:name w:val="WW8Num14z0"/>
    <w:rPr>
      <w:color w:val="000000"/>
    </w:rPr>
  </w:style>
  <w:style w:type="character" w:styleId="1016" w:customStyle="1">
    <w:name w:val="WW8Num14z1"/>
  </w:style>
  <w:style w:type="character" w:styleId="1017" w:customStyle="1">
    <w:name w:val="WW8Num14z2"/>
  </w:style>
  <w:style w:type="character" w:styleId="1018" w:customStyle="1">
    <w:name w:val="WW8Num14z3"/>
  </w:style>
  <w:style w:type="character" w:styleId="1019" w:customStyle="1">
    <w:name w:val="WW8Num14z4"/>
  </w:style>
  <w:style w:type="character" w:styleId="1020" w:customStyle="1">
    <w:name w:val="WW8Num14z5"/>
  </w:style>
  <w:style w:type="character" w:styleId="1021" w:customStyle="1">
    <w:name w:val="WW8Num14z6"/>
  </w:style>
  <w:style w:type="character" w:styleId="1022" w:customStyle="1">
    <w:name w:val="WW8Num14z7"/>
  </w:style>
  <w:style w:type="character" w:styleId="1023" w:customStyle="1">
    <w:name w:val="WW8Num14z8"/>
  </w:style>
  <w:style w:type="character" w:styleId="1024" w:customStyle="1">
    <w:name w:val="WW8Num15z0"/>
  </w:style>
  <w:style w:type="character" w:styleId="1025" w:customStyle="1">
    <w:name w:val="WW8Num15z1"/>
    <w:rPr>
      <w:i/>
      <w:sz w:val="22"/>
      <w:szCs w:val="22"/>
    </w:rPr>
  </w:style>
  <w:style w:type="character" w:styleId="1026" w:customStyle="1">
    <w:name w:val="WW8Num15z2"/>
  </w:style>
  <w:style w:type="character" w:styleId="1027" w:customStyle="1">
    <w:name w:val="WW8Num15z3"/>
  </w:style>
  <w:style w:type="character" w:styleId="1028" w:customStyle="1">
    <w:name w:val="WW8Num15z4"/>
  </w:style>
  <w:style w:type="character" w:styleId="1029" w:customStyle="1">
    <w:name w:val="WW8Num15z5"/>
  </w:style>
  <w:style w:type="character" w:styleId="1030" w:customStyle="1">
    <w:name w:val="WW8Num15z6"/>
  </w:style>
  <w:style w:type="character" w:styleId="1031" w:customStyle="1">
    <w:name w:val="WW8Num15z7"/>
  </w:style>
  <w:style w:type="character" w:styleId="1032" w:customStyle="1">
    <w:name w:val="WW8Num15z8"/>
  </w:style>
  <w:style w:type="character" w:styleId="1033" w:customStyle="1">
    <w:name w:val="WW8Num16z0"/>
  </w:style>
  <w:style w:type="character" w:styleId="1034" w:customStyle="1">
    <w:name w:val="WW8Num16z1"/>
    <w:rPr>
      <w:rFonts w:ascii="Times New Roman" w:hAnsi="Times New Roman" w:cs="Times New Roman"/>
      <w:sz w:val="22"/>
      <w:szCs w:val="22"/>
    </w:rPr>
  </w:style>
  <w:style w:type="character" w:styleId="1035" w:customStyle="1">
    <w:name w:val="WW8Num16z2"/>
  </w:style>
  <w:style w:type="character" w:styleId="1036" w:customStyle="1">
    <w:name w:val="WW8Num16z3"/>
  </w:style>
  <w:style w:type="character" w:styleId="1037" w:customStyle="1">
    <w:name w:val="WW8Num16z4"/>
  </w:style>
  <w:style w:type="character" w:styleId="1038" w:customStyle="1">
    <w:name w:val="WW8Num16z5"/>
  </w:style>
  <w:style w:type="character" w:styleId="1039" w:customStyle="1">
    <w:name w:val="WW8Num16z6"/>
  </w:style>
  <w:style w:type="character" w:styleId="1040" w:customStyle="1">
    <w:name w:val="WW8Num16z7"/>
  </w:style>
  <w:style w:type="character" w:styleId="1041" w:customStyle="1">
    <w:name w:val="WW8Num16z8"/>
  </w:style>
  <w:style w:type="character" w:styleId="1042" w:customStyle="1">
    <w:name w:val="WW8Num17z0"/>
  </w:style>
  <w:style w:type="character" w:styleId="1043" w:customStyle="1">
    <w:name w:val="WW8Num17z1"/>
  </w:style>
  <w:style w:type="character" w:styleId="1044" w:customStyle="1">
    <w:name w:val="WW8Num17z2"/>
  </w:style>
  <w:style w:type="character" w:styleId="1045" w:customStyle="1">
    <w:name w:val="WW8Num17z3"/>
  </w:style>
  <w:style w:type="character" w:styleId="1046" w:customStyle="1">
    <w:name w:val="WW8Num17z4"/>
  </w:style>
  <w:style w:type="character" w:styleId="1047" w:customStyle="1">
    <w:name w:val="WW8Num17z5"/>
  </w:style>
  <w:style w:type="character" w:styleId="1048" w:customStyle="1">
    <w:name w:val="WW8Num17z6"/>
  </w:style>
  <w:style w:type="character" w:styleId="1049" w:customStyle="1">
    <w:name w:val="WW8Num17z7"/>
  </w:style>
  <w:style w:type="character" w:styleId="1050" w:customStyle="1">
    <w:name w:val="WW8Num17z8"/>
  </w:style>
  <w:style w:type="character" w:styleId="1051" w:customStyle="1">
    <w:name w:val="WW8Num18z0"/>
  </w:style>
  <w:style w:type="character" w:styleId="1052" w:customStyle="1">
    <w:name w:val="WW8Num18z1"/>
    <w:rPr>
      <w:bCs/>
      <w:sz w:val="22"/>
      <w:szCs w:val="22"/>
    </w:rPr>
  </w:style>
  <w:style w:type="character" w:styleId="1053" w:customStyle="1">
    <w:name w:val="WW8Num18z2"/>
    <w:rPr>
      <w:bCs/>
      <w:sz w:val="22"/>
      <w:szCs w:val="22"/>
    </w:rPr>
  </w:style>
  <w:style w:type="character" w:styleId="1054" w:customStyle="1">
    <w:name w:val="WW8Num18z3"/>
  </w:style>
  <w:style w:type="character" w:styleId="1055" w:customStyle="1">
    <w:name w:val="WW8Num18z4"/>
  </w:style>
  <w:style w:type="character" w:styleId="1056" w:customStyle="1">
    <w:name w:val="WW8Num18z5"/>
  </w:style>
  <w:style w:type="character" w:styleId="1057" w:customStyle="1">
    <w:name w:val="WW8Num18z6"/>
  </w:style>
  <w:style w:type="character" w:styleId="1058" w:customStyle="1">
    <w:name w:val="WW8Num18z7"/>
  </w:style>
  <w:style w:type="character" w:styleId="1059" w:customStyle="1">
    <w:name w:val="WW8Num18z8"/>
  </w:style>
  <w:style w:type="character" w:styleId="1060" w:customStyle="1">
    <w:name w:val="WW8Num19z0"/>
  </w:style>
  <w:style w:type="character" w:styleId="1061" w:customStyle="1">
    <w:name w:val="WW8Num19z1"/>
  </w:style>
  <w:style w:type="character" w:styleId="1062" w:customStyle="1">
    <w:name w:val="WW8Num19z2"/>
  </w:style>
  <w:style w:type="character" w:styleId="1063" w:customStyle="1">
    <w:name w:val="WW8Num19z3"/>
    <w:rPr>
      <w:sz w:val="22"/>
      <w:szCs w:val="22"/>
    </w:rPr>
  </w:style>
  <w:style w:type="character" w:styleId="1064" w:customStyle="1">
    <w:name w:val="WW8Num19z4"/>
  </w:style>
  <w:style w:type="character" w:styleId="1065" w:customStyle="1">
    <w:name w:val="WW8Num19z5"/>
  </w:style>
  <w:style w:type="character" w:styleId="1066" w:customStyle="1">
    <w:name w:val="WW8Num19z6"/>
  </w:style>
  <w:style w:type="character" w:styleId="1067" w:customStyle="1">
    <w:name w:val="WW8Num19z7"/>
  </w:style>
  <w:style w:type="character" w:styleId="1068" w:customStyle="1">
    <w:name w:val="WW8Num19z8"/>
  </w:style>
  <w:style w:type="character" w:styleId="1069" w:customStyle="1">
    <w:name w:val="WW8Num20z0"/>
  </w:style>
  <w:style w:type="character" w:styleId="1070" w:customStyle="1">
    <w:name w:val="WW8Num20z1"/>
  </w:style>
  <w:style w:type="character" w:styleId="1071" w:customStyle="1">
    <w:name w:val="WW8Num20z2"/>
    <w:rPr>
      <w:i w:val="0"/>
      <w:sz w:val="22"/>
      <w:szCs w:val="22"/>
    </w:rPr>
  </w:style>
  <w:style w:type="character" w:styleId="1072" w:customStyle="1">
    <w:name w:val="WW8Num20z3"/>
  </w:style>
  <w:style w:type="character" w:styleId="1073" w:customStyle="1">
    <w:name w:val="WW8Num20z4"/>
  </w:style>
  <w:style w:type="character" w:styleId="1074" w:customStyle="1">
    <w:name w:val="WW8Num20z5"/>
  </w:style>
  <w:style w:type="character" w:styleId="1075" w:customStyle="1">
    <w:name w:val="WW8Num20z6"/>
  </w:style>
  <w:style w:type="character" w:styleId="1076" w:customStyle="1">
    <w:name w:val="WW8Num20z7"/>
  </w:style>
  <w:style w:type="character" w:styleId="1077" w:customStyle="1">
    <w:name w:val="WW8Num20z8"/>
  </w:style>
  <w:style w:type="character" w:styleId="1078" w:customStyle="1">
    <w:name w:val="WW8Num21z0"/>
  </w:style>
  <w:style w:type="character" w:styleId="1079" w:customStyle="1">
    <w:name w:val="WW8Num21z1"/>
  </w:style>
  <w:style w:type="character" w:styleId="1080" w:customStyle="1">
    <w:name w:val="WW8Num21z2"/>
  </w:style>
  <w:style w:type="character" w:styleId="1081" w:customStyle="1">
    <w:name w:val="WW8Num21z3"/>
  </w:style>
  <w:style w:type="character" w:styleId="1082" w:customStyle="1">
    <w:name w:val="WW8Num21z4"/>
  </w:style>
  <w:style w:type="character" w:styleId="1083" w:customStyle="1">
    <w:name w:val="WW8Num21z5"/>
  </w:style>
  <w:style w:type="character" w:styleId="1084" w:customStyle="1">
    <w:name w:val="WW8Num21z6"/>
  </w:style>
  <w:style w:type="character" w:styleId="1085" w:customStyle="1">
    <w:name w:val="WW8Num21z7"/>
  </w:style>
  <w:style w:type="character" w:styleId="1086" w:customStyle="1">
    <w:name w:val="WW8Num21z8"/>
  </w:style>
  <w:style w:type="character" w:styleId="1087" w:customStyle="1">
    <w:name w:val="WW8Num22z0"/>
    <w:rPr>
      <w:rFonts w:ascii="Symbol" w:hAnsi="Symbol" w:cs="Symbol"/>
      <w:sz w:val="22"/>
      <w:szCs w:val="22"/>
    </w:rPr>
  </w:style>
  <w:style w:type="character" w:styleId="1088" w:customStyle="1">
    <w:name w:val="WW8Num22z1"/>
    <w:rPr>
      <w:rFonts w:ascii="Courier New" w:hAnsi="Courier New" w:cs="Courier New"/>
    </w:rPr>
  </w:style>
  <w:style w:type="character" w:styleId="1089" w:customStyle="1">
    <w:name w:val="WW8Num22z2"/>
    <w:rPr>
      <w:rFonts w:ascii="Wingdings" w:hAnsi="Wingdings" w:cs="Wingdings"/>
    </w:rPr>
  </w:style>
  <w:style w:type="character" w:styleId="1090" w:customStyle="1">
    <w:name w:val="WW8Num23z0"/>
    <w:rPr>
      <w:rFonts w:ascii="Symbol" w:hAnsi="Symbol" w:cs="Symbol"/>
    </w:rPr>
  </w:style>
  <w:style w:type="character" w:styleId="1091" w:customStyle="1">
    <w:name w:val="WW8Num23z1"/>
    <w:rPr>
      <w:rFonts w:ascii="Courier New" w:hAnsi="Courier New" w:cs="Courier New"/>
    </w:rPr>
  </w:style>
  <w:style w:type="character" w:styleId="1092" w:customStyle="1">
    <w:name w:val="WW8Num23z2"/>
    <w:rPr>
      <w:rFonts w:ascii="Wingdings" w:hAnsi="Wingdings" w:cs="Wingdings"/>
    </w:rPr>
  </w:style>
  <w:style w:type="character" w:styleId="1093" w:customStyle="1">
    <w:name w:val="WW8Num24z0"/>
  </w:style>
  <w:style w:type="character" w:styleId="1094" w:customStyle="1">
    <w:name w:val="WW8Num24z1"/>
  </w:style>
  <w:style w:type="character" w:styleId="1095" w:customStyle="1">
    <w:name w:val="WW8Num24z2"/>
    <w:rPr>
      <w:b w:val="0"/>
      <w:bCs/>
      <w:sz w:val="22"/>
      <w:szCs w:val="22"/>
    </w:rPr>
  </w:style>
  <w:style w:type="character" w:styleId="1096" w:customStyle="1">
    <w:name w:val="WW8Num24z3"/>
  </w:style>
  <w:style w:type="character" w:styleId="1097" w:customStyle="1">
    <w:name w:val="WW8Num24z4"/>
  </w:style>
  <w:style w:type="character" w:styleId="1098" w:customStyle="1">
    <w:name w:val="WW8Num24z5"/>
  </w:style>
  <w:style w:type="character" w:styleId="1099" w:customStyle="1">
    <w:name w:val="WW8Num24z6"/>
  </w:style>
  <w:style w:type="character" w:styleId="1100" w:customStyle="1">
    <w:name w:val="WW8Num24z7"/>
  </w:style>
  <w:style w:type="character" w:styleId="1101" w:customStyle="1">
    <w:name w:val="WW8Num24z8"/>
  </w:style>
  <w:style w:type="character" w:styleId="1102" w:customStyle="1">
    <w:name w:val="WW8Num25z0"/>
  </w:style>
  <w:style w:type="character" w:styleId="1103" w:customStyle="1">
    <w:name w:val="WW8Num25z1"/>
  </w:style>
  <w:style w:type="character" w:styleId="1104" w:customStyle="1">
    <w:name w:val="WW8Num25z2"/>
  </w:style>
  <w:style w:type="character" w:styleId="1105" w:customStyle="1">
    <w:name w:val="WW8Num25z3"/>
  </w:style>
  <w:style w:type="character" w:styleId="1106" w:customStyle="1">
    <w:name w:val="WW8Num25z4"/>
  </w:style>
  <w:style w:type="character" w:styleId="1107" w:customStyle="1">
    <w:name w:val="WW8Num25z5"/>
  </w:style>
  <w:style w:type="character" w:styleId="1108" w:customStyle="1">
    <w:name w:val="WW8Num25z6"/>
  </w:style>
  <w:style w:type="character" w:styleId="1109" w:customStyle="1">
    <w:name w:val="WW8Num25z7"/>
  </w:style>
  <w:style w:type="character" w:styleId="1110" w:customStyle="1">
    <w:name w:val="WW8Num25z8"/>
  </w:style>
  <w:style w:type="character" w:styleId="1111" w:customStyle="1">
    <w:name w:val="WW8Num26z0"/>
  </w:style>
  <w:style w:type="character" w:styleId="1112" w:customStyle="1">
    <w:name w:val="WW8Num26z1"/>
  </w:style>
  <w:style w:type="character" w:styleId="1113" w:customStyle="1">
    <w:name w:val="WW8Num26z2"/>
    <w:rPr>
      <w:sz w:val="22"/>
      <w:szCs w:val="22"/>
    </w:rPr>
  </w:style>
  <w:style w:type="character" w:styleId="1114" w:customStyle="1">
    <w:name w:val="WW8Num26z3"/>
  </w:style>
  <w:style w:type="character" w:styleId="1115" w:customStyle="1">
    <w:name w:val="WW8Num26z4"/>
  </w:style>
  <w:style w:type="character" w:styleId="1116" w:customStyle="1">
    <w:name w:val="WW8Num26z5"/>
  </w:style>
  <w:style w:type="character" w:styleId="1117" w:customStyle="1">
    <w:name w:val="WW8Num26z6"/>
  </w:style>
  <w:style w:type="character" w:styleId="1118" w:customStyle="1">
    <w:name w:val="WW8Num26z7"/>
  </w:style>
  <w:style w:type="character" w:styleId="1119" w:customStyle="1">
    <w:name w:val="WW8Num26z8"/>
  </w:style>
  <w:style w:type="character" w:styleId="1120" w:customStyle="1">
    <w:name w:val="WW8Num27z0"/>
  </w:style>
  <w:style w:type="character" w:styleId="1121" w:customStyle="1">
    <w:name w:val="WW8Num27z1"/>
  </w:style>
  <w:style w:type="character" w:styleId="1122" w:customStyle="1">
    <w:name w:val="WW8Num27z2"/>
    <w:rPr>
      <w:b w:val="0"/>
      <w:sz w:val="22"/>
      <w:szCs w:val="22"/>
    </w:rPr>
  </w:style>
  <w:style w:type="character" w:styleId="1123" w:customStyle="1">
    <w:name w:val="WW8Num27z3"/>
  </w:style>
  <w:style w:type="character" w:styleId="1124" w:customStyle="1">
    <w:name w:val="WW8Num27z4"/>
  </w:style>
  <w:style w:type="character" w:styleId="1125" w:customStyle="1">
    <w:name w:val="WW8Num27z5"/>
  </w:style>
  <w:style w:type="character" w:styleId="1126" w:customStyle="1">
    <w:name w:val="WW8Num27z6"/>
  </w:style>
  <w:style w:type="character" w:styleId="1127" w:customStyle="1">
    <w:name w:val="WW8Num27z7"/>
  </w:style>
  <w:style w:type="character" w:styleId="1128" w:customStyle="1">
    <w:name w:val="WW8Num27z8"/>
  </w:style>
  <w:style w:type="character" w:styleId="1129" w:customStyle="1">
    <w:name w:val="WW8Num28z0"/>
    <w:rPr>
      <w:color w:val="000000"/>
      <w:sz w:val="22"/>
      <w:szCs w:val="22"/>
    </w:rPr>
  </w:style>
  <w:style w:type="character" w:styleId="1130" w:customStyle="1">
    <w:name w:val="WW8Num28z1"/>
  </w:style>
  <w:style w:type="character" w:styleId="1131" w:customStyle="1">
    <w:name w:val="WW8Num28z2"/>
  </w:style>
  <w:style w:type="character" w:styleId="1132" w:customStyle="1">
    <w:name w:val="WW8Num28z3"/>
  </w:style>
  <w:style w:type="character" w:styleId="1133" w:customStyle="1">
    <w:name w:val="WW8Num28z4"/>
  </w:style>
  <w:style w:type="character" w:styleId="1134" w:customStyle="1">
    <w:name w:val="WW8Num28z5"/>
  </w:style>
  <w:style w:type="character" w:styleId="1135" w:customStyle="1">
    <w:name w:val="WW8Num28z6"/>
  </w:style>
  <w:style w:type="character" w:styleId="1136" w:customStyle="1">
    <w:name w:val="WW8Num28z7"/>
  </w:style>
  <w:style w:type="character" w:styleId="1137" w:customStyle="1">
    <w:name w:val="WW8Num28z8"/>
  </w:style>
  <w:style w:type="character" w:styleId="1138" w:customStyle="1">
    <w:name w:val="WW8Num29z0"/>
  </w:style>
  <w:style w:type="character" w:styleId="1139" w:customStyle="1">
    <w:name w:val="WW8Num29z1"/>
  </w:style>
  <w:style w:type="character" w:styleId="1140" w:customStyle="1">
    <w:name w:val="WW8Num29z2"/>
  </w:style>
  <w:style w:type="character" w:styleId="1141" w:customStyle="1">
    <w:name w:val="WW8Num29z3"/>
  </w:style>
  <w:style w:type="character" w:styleId="1142" w:customStyle="1">
    <w:name w:val="WW8Num29z4"/>
  </w:style>
  <w:style w:type="character" w:styleId="1143" w:customStyle="1">
    <w:name w:val="WW8Num29z5"/>
  </w:style>
  <w:style w:type="character" w:styleId="1144" w:customStyle="1">
    <w:name w:val="WW8Num29z6"/>
  </w:style>
  <w:style w:type="character" w:styleId="1145" w:customStyle="1">
    <w:name w:val="WW8Num29z7"/>
  </w:style>
  <w:style w:type="character" w:styleId="1146" w:customStyle="1">
    <w:name w:val="WW8Num29z8"/>
  </w:style>
  <w:style w:type="character" w:styleId="1147" w:customStyle="1">
    <w:name w:val="WW8Num30z0"/>
  </w:style>
  <w:style w:type="character" w:styleId="1148" w:customStyle="1">
    <w:name w:val="WW8Num30z1"/>
    <w:rPr>
      <w:b w:val="0"/>
      <w:sz w:val="22"/>
      <w:szCs w:val="22"/>
    </w:rPr>
  </w:style>
  <w:style w:type="character" w:styleId="1149" w:customStyle="1">
    <w:name w:val="WW8Num30z2"/>
  </w:style>
  <w:style w:type="character" w:styleId="1150" w:customStyle="1">
    <w:name w:val="WW8Num30z3"/>
  </w:style>
  <w:style w:type="character" w:styleId="1151" w:customStyle="1">
    <w:name w:val="WW8Num30z4"/>
  </w:style>
  <w:style w:type="character" w:styleId="1152" w:customStyle="1">
    <w:name w:val="WW8Num30z5"/>
  </w:style>
  <w:style w:type="character" w:styleId="1153" w:customStyle="1">
    <w:name w:val="WW8Num30z6"/>
  </w:style>
  <w:style w:type="character" w:styleId="1154" w:customStyle="1">
    <w:name w:val="WW8Num30z7"/>
  </w:style>
  <w:style w:type="character" w:styleId="1155" w:customStyle="1">
    <w:name w:val="WW8Num30z8"/>
  </w:style>
  <w:style w:type="character" w:styleId="1156" w:customStyle="1">
    <w:name w:val="WW8Num31z0"/>
  </w:style>
  <w:style w:type="character" w:styleId="1157" w:customStyle="1">
    <w:name w:val="WW8Num31z1"/>
  </w:style>
  <w:style w:type="character" w:styleId="1158" w:customStyle="1">
    <w:name w:val="WW8Num31z2"/>
  </w:style>
  <w:style w:type="character" w:styleId="1159" w:customStyle="1">
    <w:name w:val="WW8Num31z3"/>
  </w:style>
  <w:style w:type="character" w:styleId="1160" w:customStyle="1">
    <w:name w:val="WW8Num31z4"/>
  </w:style>
  <w:style w:type="character" w:styleId="1161" w:customStyle="1">
    <w:name w:val="WW8Num31z5"/>
  </w:style>
  <w:style w:type="character" w:styleId="1162" w:customStyle="1">
    <w:name w:val="WW8Num31z6"/>
  </w:style>
  <w:style w:type="character" w:styleId="1163" w:customStyle="1">
    <w:name w:val="WW8Num31z7"/>
  </w:style>
  <w:style w:type="character" w:styleId="1164" w:customStyle="1">
    <w:name w:val="WW8Num31z8"/>
  </w:style>
  <w:style w:type="character" w:styleId="1165" w:customStyle="1">
    <w:name w:val="WW8Num32z0"/>
  </w:style>
  <w:style w:type="character" w:styleId="1166" w:customStyle="1">
    <w:name w:val="WW8Num32z1"/>
  </w:style>
  <w:style w:type="character" w:styleId="1167" w:customStyle="1">
    <w:name w:val="WW8Num32z2"/>
  </w:style>
  <w:style w:type="character" w:styleId="1168" w:customStyle="1">
    <w:name w:val="WW8Num32z3"/>
  </w:style>
  <w:style w:type="character" w:styleId="1169" w:customStyle="1">
    <w:name w:val="WW8Num32z4"/>
  </w:style>
  <w:style w:type="character" w:styleId="1170" w:customStyle="1">
    <w:name w:val="WW8Num32z5"/>
  </w:style>
  <w:style w:type="character" w:styleId="1171" w:customStyle="1">
    <w:name w:val="WW8Num32z6"/>
  </w:style>
  <w:style w:type="character" w:styleId="1172" w:customStyle="1">
    <w:name w:val="WW8Num32z7"/>
  </w:style>
  <w:style w:type="character" w:styleId="1173" w:customStyle="1">
    <w:name w:val="WW8Num32z8"/>
  </w:style>
  <w:style w:type="character" w:styleId="1174" w:customStyle="1">
    <w:name w:val="WW8Num33z0"/>
  </w:style>
  <w:style w:type="character" w:styleId="1175" w:customStyle="1">
    <w:name w:val="WW8Num33z1"/>
  </w:style>
  <w:style w:type="character" w:styleId="1176" w:customStyle="1">
    <w:name w:val="WW8Num33z2"/>
    <w:rPr>
      <w:b w:val="0"/>
    </w:rPr>
  </w:style>
  <w:style w:type="character" w:styleId="1177" w:customStyle="1">
    <w:name w:val="WW8Num33z3"/>
  </w:style>
  <w:style w:type="character" w:styleId="1178" w:customStyle="1">
    <w:name w:val="WW8Num33z4"/>
  </w:style>
  <w:style w:type="character" w:styleId="1179" w:customStyle="1">
    <w:name w:val="WW8Num33z5"/>
  </w:style>
  <w:style w:type="character" w:styleId="1180" w:customStyle="1">
    <w:name w:val="WW8Num33z6"/>
  </w:style>
  <w:style w:type="character" w:styleId="1181" w:customStyle="1">
    <w:name w:val="WW8Num33z7"/>
  </w:style>
  <w:style w:type="character" w:styleId="1182" w:customStyle="1">
    <w:name w:val="WW8Num33z8"/>
  </w:style>
  <w:style w:type="character" w:styleId="1183" w:customStyle="1">
    <w:name w:val="WW8Num34z0"/>
    <w:rPr>
      <w:color w:val="000000"/>
    </w:rPr>
  </w:style>
  <w:style w:type="character" w:styleId="1184" w:customStyle="1">
    <w:name w:val="WW8Num34z1"/>
  </w:style>
  <w:style w:type="character" w:styleId="1185" w:customStyle="1">
    <w:name w:val="WW8Num34z2"/>
  </w:style>
  <w:style w:type="character" w:styleId="1186" w:customStyle="1">
    <w:name w:val="WW8Num34z3"/>
  </w:style>
  <w:style w:type="character" w:styleId="1187" w:customStyle="1">
    <w:name w:val="WW8Num34z4"/>
  </w:style>
  <w:style w:type="character" w:styleId="1188" w:customStyle="1">
    <w:name w:val="WW8Num34z5"/>
  </w:style>
  <w:style w:type="character" w:styleId="1189" w:customStyle="1">
    <w:name w:val="WW8Num34z6"/>
  </w:style>
  <w:style w:type="character" w:styleId="1190" w:customStyle="1">
    <w:name w:val="WW8Num34z7"/>
  </w:style>
  <w:style w:type="character" w:styleId="1191" w:customStyle="1">
    <w:name w:val="WW8Num34z8"/>
  </w:style>
  <w:style w:type="character" w:styleId="1192" w:customStyle="1">
    <w:name w:val="WW8Num35z0"/>
  </w:style>
  <w:style w:type="character" w:styleId="1193" w:customStyle="1">
    <w:name w:val="WW8Num35z1"/>
    <w:rPr>
      <w:b w:val="0"/>
      <w:sz w:val="22"/>
      <w:szCs w:val="22"/>
    </w:rPr>
  </w:style>
  <w:style w:type="character" w:styleId="1194" w:customStyle="1">
    <w:name w:val="WW8Num35z2"/>
    <w:rPr>
      <w:rFonts w:ascii="Times New Roman" w:hAnsi="Times New Roman" w:cs="Times New Roman"/>
      <w:sz w:val="22"/>
      <w:szCs w:val="22"/>
    </w:rPr>
  </w:style>
  <w:style w:type="character" w:styleId="1195" w:customStyle="1">
    <w:name w:val="WW8Num35z3"/>
  </w:style>
  <w:style w:type="character" w:styleId="1196" w:customStyle="1">
    <w:name w:val="WW8Num35z4"/>
  </w:style>
  <w:style w:type="character" w:styleId="1197" w:customStyle="1">
    <w:name w:val="WW8Num35z5"/>
  </w:style>
  <w:style w:type="character" w:styleId="1198" w:customStyle="1">
    <w:name w:val="WW8Num35z6"/>
  </w:style>
  <w:style w:type="character" w:styleId="1199" w:customStyle="1">
    <w:name w:val="WW8Num35z7"/>
  </w:style>
  <w:style w:type="character" w:styleId="1200" w:customStyle="1">
    <w:name w:val="WW8Num35z8"/>
  </w:style>
  <w:style w:type="character" w:styleId="1201" w:customStyle="1">
    <w:name w:val="WW8Num36z0"/>
  </w:style>
  <w:style w:type="character" w:styleId="1202" w:customStyle="1">
    <w:name w:val="WW8Num36z1"/>
  </w:style>
  <w:style w:type="character" w:styleId="1203" w:customStyle="1">
    <w:name w:val="WW8Num36z2"/>
  </w:style>
  <w:style w:type="character" w:styleId="1204" w:customStyle="1">
    <w:name w:val="WW8Num36z3"/>
  </w:style>
  <w:style w:type="character" w:styleId="1205" w:customStyle="1">
    <w:name w:val="WW8Num36z4"/>
  </w:style>
  <w:style w:type="character" w:styleId="1206" w:customStyle="1">
    <w:name w:val="WW8Num36z5"/>
  </w:style>
  <w:style w:type="character" w:styleId="1207" w:customStyle="1">
    <w:name w:val="WW8Num36z6"/>
  </w:style>
  <w:style w:type="character" w:styleId="1208" w:customStyle="1">
    <w:name w:val="WW8Num36z7"/>
  </w:style>
  <w:style w:type="character" w:styleId="1209" w:customStyle="1">
    <w:name w:val="WW8Num36z8"/>
  </w:style>
  <w:style w:type="character" w:styleId="1210" w:customStyle="1">
    <w:name w:val="WW8Num37z0"/>
  </w:style>
  <w:style w:type="character" w:styleId="1211" w:customStyle="1">
    <w:name w:val="WW8Num37z1"/>
  </w:style>
  <w:style w:type="character" w:styleId="1212" w:customStyle="1">
    <w:name w:val="WW8Num37z2"/>
  </w:style>
  <w:style w:type="character" w:styleId="1213" w:customStyle="1">
    <w:name w:val="WW8Num37z3"/>
  </w:style>
  <w:style w:type="character" w:styleId="1214" w:customStyle="1">
    <w:name w:val="WW8Num37z4"/>
  </w:style>
  <w:style w:type="character" w:styleId="1215" w:customStyle="1">
    <w:name w:val="WW8Num37z5"/>
  </w:style>
  <w:style w:type="character" w:styleId="1216" w:customStyle="1">
    <w:name w:val="WW8Num37z6"/>
  </w:style>
  <w:style w:type="character" w:styleId="1217" w:customStyle="1">
    <w:name w:val="WW8Num37z7"/>
  </w:style>
  <w:style w:type="character" w:styleId="1218" w:customStyle="1">
    <w:name w:val="WW8Num37z8"/>
  </w:style>
  <w:style w:type="character" w:styleId="1219" w:customStyle="1">
    <w:name w:val="WW8Num38z0"/>
    <w:rPr>
      <w:b/>
    </w:rPr>
  </w:style>
  <w:style w:type="character" w:styleId="1220" w:customStyle="1">
    <w:name w:val="WW8Num38z1"/>
    <w:rPr>
      <w:i/>
      <w:sz w:val="22"/>
      <w:szCs w:val="22"/>
    </w:rPr>
  </w:style>
  <w:style w:type="character" w:styleId="1221" w:customStyle="1">
    <w:name w:val="WW8Num38z2"/>
  </w:style>
  <w:style w:type="character" w:styleId="1222" w:customStyle="1">
    <w:name w:val="WW8Num38z3"/>
  </w:style>
  <w:style w:type="character" w:styleId="1223" w:customStyle="1">
    <w:name w:val="WW8Num38z4"/>
  </w:style>
  <w:style w:type="character" w:styleId="1224" w:customStyle="1">
    <w:name w:val="WW8Num38z5"/>
  </w:style>
  <w:style w:type="character" w:styleId="1225" w:customStyle="1">
    <w:name w:val="WW8Num38z6"/>
  </w:style>
  <w:style w:type="character" w:styleId="1226" w:customStyle="1">
    <w:name w:val="WW8Num38z7"/>
  </w:style>
  <w:style w:type="character" w:styleId="1227" w:customStyle="1">
    <w:name w:val="WW8Num38z8"/>
  </w:style>
  <w:style w:type="character" w:styleId="1228" w:customStyle="1">
    <w:name w:val="WW8Num39z0"/>
  </w:style>
  <w:style w:type="character" w:styleId="1229" w:customStyle="1">
    <w:name w:val="WW8Num39z1"/>
  </w:style>
  <w:style w:type="character" w:styleId="1230" w:customStyle="1">
    <w:name w:val="WW8Num39z2"/>
    <w:rPr>
      <w:bCs/>
      <w:sz w:val="22"/>
      <w:szCs w:val="22"/>
    </w:rPr>
  </w:style>
  <w:style w:type="character" w:styleId="1231" w:customStyle="1">
    <w:name w:val="WW8Num39z3"/>
  </w:style>
  <w:style w:type="character" w:styleId="1232" w:customStyle="1">
    <w:name w:val="WW8Num39z4"/>
  </w:style>
  <w:style w:type="character" w:styleId="1233" w:customStyle="1">
    <w:name w:val="WW8Num39z5"/>
  </w:style>
  <w:style w:type="character" w:styleId="1234" w:customStyle="1">
    <w:name w:val="WW8Num39z6"/>
  </w:style>
  <w:style w:type="character" w:styleId="1235" w:customStyle="1">
    <w:name w:val="WW8Num39z7"/>
  </w:style>
  <w:style w:type="character" w:styleId="1236" w:customStyle="1">
    <w:name w:val="WW8Num39z8"/>
  </w:style>
  <w:style w:type="character" w:styleId="1237" w:customStyle="1">
    <w:name w:val="WW8Num40z0"/>
  </w:style>
  <w:style w:type="character" w:styleId="1238" w:customStyle="1">
    <w:name w:val="WW8Num40z1"/>
  </w:style>
  <w:style w:type="character" w:styleId="1239" w:customStyle="1">
    <w:name w:val="WW8Num40z2"/>
  </w:style>
  <w:style w:type="character" w:styleId="1240" w:customStyle="1">
    <w:name w:val="WW8Num40z3"/>
  </w:style>
  <w:style w:type="character" w:styleId="1241" w:customStyle="1">
    <w:name w:val="WW8Num40z4"/>
  </w:style>
  <w:style w:type="character" w:styleId="1242" w:customStyle="1">
    <w:name w:val="WW8Num40z5"/>
  </w:style>
  <w:style w:type="character" w:styleId="1243" w:customStyle="1">
    <w:name w:val="WW8Num40z6"/>
  </w:style>
  <w:style w:type="character" w:styleId="1244" w:customStyle="1">
    <w:name w:val="WW8Num40z7"/>
  </w:style>
  <w:style w:type="character" w:styleId="1245" w:customStyle="1">
    <w:name w:val="WW8Num40z8"/>
  </w:style>
  <w:style w:type="character" w:styleId="1246" w:customStyle="1">
    <w:name w:val="WW8Num41z0"/>
  </w:style>
  <w:style w:type="character" w:styleId="1247" w:customStyle="1">
    <w:name w:val="WW8Num41z1"/>
  </w:style>
  <w:style w:type="character" w:styleId="1248" w:customStyle="1">
    <w:name w:val="WW8Num41z2"/>
  </w:style>
  <w:style w:type="character" w:styleId="1249" w:customStyle="1">
    <w:name w:val="WW8Num41z3"/>
  </w:style>
  <w:style w:type="character" w:styleId="1250" w:customStyle="1">
    <w:name w:val="WW8Num41z4"/>
  </w:style>
  <w:style w:type="character" w:styleId="1251" w:customStyle="1">
    <w:name w:val="WW8Num41z5"/>
  </w:style>
  <w:style w:type="character" w:styleId="1252" w:customStyle="1">
    <w:name w:val="WW8Num41z6"/>
  </w:style>
  <w:style w:type="character" w:styleId="1253" w:customStyle="1">
    <w:name w:val="WW8Num41z7"/>
  </w:style>
  <w:style w:type="character" w:styleId="1254" w:customStyle="1">
    <w:name w:val="WW8Num41z8"/>
  </w:style>
  <w:style w:type="character" w:styleId="1255" w:customStyle="1">
    <w:name w:val="WW8Num42z0"/>
  </w:style>
  <w:style w:type="character" w:styleId="1256" w:customStyle="1">
    <w:name w:val="WW8Num42z1"/>
    <w:rPr>
      <w:b w:val="0"/>
      <w:bCs/>
      <w:sz w:val="22"/>
      <w:szCs w:val="22"/>
    </w:rPr>
  </w:style>
  <w:style w:type="character" w:styleId="1257" w:customStyle="1">
    <w:name w:val="WW8Num42z2"/>
  </w:style>
  <w:style w:type="character" w:styleId="1258" w:customStyle="1">
    <w:name w:val="WW8Num42z3"/>
  </w:style>
  <w:style w:type="character" w:styleId="1259" w:customStyle="1">
    <w:name w:val="WW8Num42z4"/>
  </w:style>
  <w:style w:type="character" w:styleId="1260" w:customStyle="1">
    <w:name w:val="WW8Num42z5"/>
  </w:style>
  <w:style w:type="character" w:styleId="1261" w:customStyle="1">
    <w:name w:val="WW8Num42z6"/>
  </w:style>
  <w:style w:type="character" w:styleId="1262" w:customStyle="1">
    <w:name w:val="WW8Num42z7"/>
  </w:style>
  <w:style w:type="character" w:styleId="1263" w:customStyle="1">
    <w:name w:val="WW8Num42z8"/>
  </w:style>
  <w:style w:type="character" w:styleId="1264" w:customStyle="1">
    <w:name w:val="WW8Num43z0"/>
  </w:style>
  <w:style w:type="character" w:styleId="1265" w:customStyle="1">
    <w:name w:val="WW8Num43z1"/>
    <w:rPr>
      <w:i/>
      <w:sz w:val="22"/>
      <w:szCs w:val="22"/>
    </w:rPr>
  </w:style>
  <w:style w:type="character" w:styleId="1266" w:customStyle="1">
    <w:name w:val="WW8Num43z2"/>
  </w:style>
  <w:style w:type="character" w:styleId="1267" w:customStyle="1">
    <w:name w:val="WW8Num43z3"/>
  </w:style>
  <w:style w:type="character" w:styleId="1268" w:customStyle="1">
    <w:name w:val="WW8Num43z4"/>
  </w:style>
  <w:style w:type="character" w:styleId="1269" w:customStyle="1">
    <w:name w:val="WW8Num43z5"/>
  </w:style>
  <w:style w:type="character" w:styleId="1270" w:customStyle="1">
    <w:name w:val="WW8Num43z6"/>
  </w:style>
  <w:style w:type="character" w:styleId="1271" w:customStyle="1">
    <w:name w:val="WW8Num43z7"/>
  </w:style>
  <w:style w:type="character" w:styleId="1272" w:customStyle="1">
    <w:name w:val="WW8Num43z8"/>
  </w:style>
  <w:style w:type="character" w:styleId="1273" w:customStyle="1">
    <w:name w:val="WW8Num44z0"/>
    <w:rPr>
      <w:rFonts w:ascii="Symbol" w:hAnsi="Symbol" w:cs="Symbol"/>
      <w:sz w:val="22"/>
      <w:szCs w:val="22"/>
    </w:rPr>
  </w:style>
  <w:style w:type="character" w:styleId="1274" w:customStyle="1">
    <w:name w:val="WW8Num44z1"/>
    <w:rPr>
      <w:rFonts w:ascii="Courier New" w:hAnsi="Courier New" w:cs="Courier New"/>
    </w:rPr>
  </w:style>
  <w:style w:type="character" w:styleId="1275" w:customStyle="1">
    <w:name w:val="WW8Num44z2"/>
    <w:rPr>
      <w:rFonts w:ascii="Wingdings" w:hAnsi="Wingdings" w:cs="Wingdings"/>
    </w:rPr>
  </w:style>
  <w:style w:type="character" w:styleId="1276" w:customStyle="1">
    <w:name w:val="WW8Num45z0"/>
  </w:style>
  <w:style w:type="character" w:styleId="1277" w:customStyle="1">
    <w:name w:val="WW8Num45z1"/>
    <w:rPr>
      <w:rFonts w:ascii="Times New Roman" w:hAnsi="Times New Roman" w:eastAsia="Times New Roman" w:cs="Times New Roman"/>
    </w:rPr>
  </w:style>
  <w:style w:type="character" w:styleId="1278" w:customStyle="1">
    <w:name w:val="WW8Num45z3"/>
  </w:style>
  <w:style w:type="character" w:styleId="1279" w:customStyle="1">
    <w:name w:val="WW8Num45z4"/>
  </w:style>
  <w:style w:type="character" w:styleId="1280" w:customStyle="1">
    <w:name w:val="WW8Num45z5"/>
  </w:style>
  <w:style w:type="character" w:styleId="1281" w:customStyle="1">
    <w:name w:val="WW8Num45z6"/>
  </w:style>
  <w:style w:type="character" w:styleId="1282" w:customStyle="1">
    <w:name w:val="WW8Num45z7"/>
  </w:style>
  <w:style w:type="character" w:styleId="1283" w:customStyle="1">
    <w:name w:val="WW8Num45z8"/>
  </w:style>
  <w:style w:type="character" w:styleId="1284" w:customStyle="1">
    <w:name w:val="WW8Num46z0"/>
    <w:rPr>
      <w:color w:val="000000"/>
      <w:sz w:val="22"/>
      <w:szCs w:val="22"/>
    </w:rPr>
  </w:style>
  <w:style w:type="character" w:styleId="1285" w:customStyle="1">
    <w:name w:val="WW8Num46z1"/>
  </w:style>
  <w:style w:type="character" w:styleId="1286" w:customStyle="1">
    <w:name w:val="WW8Num46z2"/>
  </w:style>
  <w:style w:type="character" w:styleId="1287" w:customStyle="1">
    <w:name w:val="WW8Num46z3"/>
  </w:style>
  <w:style w:type="character" w:styleId="1288" w:customStyle="1">
    <w:name w:val="WW8Num46z4"/>
  </w:style>
  <w:style w:type="character" w:styleId="1289" w:customStyle="1">
    <w:name w:val="WW8Num46z5"/>
  </w:style>
  <w:style w:type="character" w:styleId="1290" w:customStyle="1">
    <w:name w:val="WW8Num46z6"/>
  </w:style>
  <w:style w:type="character" w:styleId="1291" w:customStyle="1">
    <w:name w:val="WW8Num46z7"/>
  </w:style>
  <w:style w:type="character" w:styleId="1292" w:customStyle="1">
    <w:name w:val="WW8Num46z8"/>
  </w:style>
  <w:style w:type="character" w:styleId="1293" w:customStyle="1">
    <w:name w:val="WW8Num47z0"/>
  </w:style>
  <w:style w:type="character" w:styleId="1294" w:customStyle="1">
    <w:name w:val="WW8Num47z1"/>
  </w:style>
  <w:style w:type="character" w:styleId="1295" w:customStyle="1">
    <w:name w:val="WW8Num47z2"/>
  </w:style>
  <w:style w:type="character" w:styleId="1296" w:customStyle="1">
    <w:name w:val="WW8Num47z3"/>
  </w:style>
  <w:style w:type="character" w:styleId="1297" w:customStyle="1">
    <w:name w:val="WW8Num47z4"/>
  </w:style>
  <w:style w:type="character" w:styleId="1298" w:customStyle="1">
    <w:name w:val="WW8Num47z5"/>
  </w:style>
  <w:style w:type="character" w:styleId="1299" w:customStyle="1">
    <w:name w:val="WW8Num47z6"/>
  </w:style>
  <w:style w:type="character" w:styleId="1300" w:customStyle="1">
    <w:name w:val="WW8Num47z7"/>
  </w:style>
  <w:style w:type="character" w:styleId="1301" w:customStyle="1">
    <w:name w:val="WW8Num47z8"/>
  </w:style>
  <w:style w:type="character" w:styleId="1302" w:customStyle="1">
    <w:name w:val="WW8Num48z0"/>
  </w:style>
  <w:style w:type="character" w:styleId="1303" w:customStyle="1">
    <w:name w:val="WW8Num48z1"/>
    <w:rPr>
      <w:b w:val="0"/>
      <w:color w:val="000000"/>
      <w:sz w:val="22"/>
      <w:szCs w:val="22"/>
    </w:rPr>
  </w:style>
  <w:style w:type="character" w:styleId="1304" w:customStyle="1">
    <w:name w:val="WW8Num48z2"/>
  </w:style>
  <w:style w:type="character" w:styleId="1305" w:customStyle="1">
    <w:name w:val="WW8Num48z3"/>
  </w:style>
  <w:style w:type="character" w:styleId="1306" w:customStyle="1">
    <w:name w:val="WW8Num48z4"/>
  </w:style>
  <w:style w:type="character" w:styleId="1307" w:customStyle="1">
    <w:name w:val="WW8Num48z5"/>
  </w:style>
  <w:style w:type="character" w:styleId="1308" w:customStyle="1">
    <w:name w:val="WW8Num48z6"/>
  </w:style>
  <w:style w:type="character" w:styleId="1309" w:customStyle="1">
    <w:name w:val="WW8Num48z7"/>
  </w:style>
  <w:style w:type="character" w:styleId="1310" w:customStyle="1">
    <w:name w:val="WW8Num48z8"/>
  </w:style>
  <w:style w:type="character" w:styleId="1311" w:customStyle="1">
    <w:name w:val="WW8Num49z0"/>
    <w:rPr>
      <w:b/>
    </w:rPr>
  </w:style>
  <w:style w:type="character" w:styleId="1312" w:customStyle="1">
    <w:name w:val="WW8Num49z1"/>
  </w:style>
  <w:style w:type="character" w:styleId="1313" w:customStyle="1">
    <w:name w:val="WW8Num49z2"/>
  </w:style>
  <w:style w:type="character" w:styleId="1314" w:customStyle="1">
    <w:name w:val="WW8Num49z3"/>
  </w:style>
  <w:style w:type="character" w:styleId="1315" w:customStyle="1">
    <w:name w:val="WW8Num49z4"/>
  </w:style>
  <w:style w:type="character" w:styleId="1316" w:customStyle="1">
    <w:name w:val="WW8Num49z5"/>
  </w:style>
  <w:style w:type="character" w:styleId="1317" w:customStyle="1">
    <w:name w:val="WW8Num49z6"/>
  </w:style>
  <w:style w:type="character" w:styleId="1318" w:customStyle="1">
    <w:name w:val="WW8Num49z7"/>
  </w:style>
  <w:style w:type="character" w:styleId="1319" w:customStyle="1">
    <w:name w:val="WW8Num49z8"/>
  </w:style>
  <w:style w:type="character" w:styleId="1320" w:customStyle="1">
    <w:name w:val="WW8Num50z0"/>
    <w:rPr>
      <w:rFonts w:ascii="Symbol" w:hAnsi="Symbol" w:cs="Symbol"/>
      <w:sz w:val="22"/>
      <w:szCs w:val="22"/>
    </w:rPr>
  </w:style>
  <w:style w:type="character" w:styleId="1321" w:customStyle="1">
    <w:name w:val="WW8Num50z1"/>
    <w:rPr>
      <w:rFonts w:ascii="Courier New" w:hAnsi="Courier New" w:cs="Courier New"/>
    </w:rPr>
  </w:style>
  <w:style w:type="character" w:styleId="1322" w:customStyle="1">
    <w:name w:val="WW8Num50z2"/>
    <w:rPr>
      <w:rFonts w:ascii="Wingdings" w:hAnsi="Wingdings" w:cs="Wingdings"/>
    </w:rPr>
  </w:style>
  <w:style w:type="character" w:styleId="1323" w:customStyle="1">
    <w:name w:val="WW8Num51z0"/>
  </w:style>
  <w:style w:type="character" w:styleId="1324" w:customStyle="1">
    <w:name w:val="WW8Num51z1"/>
  </w:style>
  <w:style w:type="character" w:styleId="1325" w:customStyle="1">
    <w:name w:val="WW8Num51z2"/>
  </w:style>
  <w:style w:type="character" w:styleId="1326" w:customStyle="1">
    <w:name w:val="WW8Num51z3"/>
  </w:style>
  <w:style w:type="character" w:styleId="1327" w:customStyle="1">
    <w:name w:val="WW8Num51z4"/>
  </w:style>
  <w:style w:type="character" w:styleId="1328" w:customStyle="1">
    <w:name w:val="WW8Num51z5"/>
  </w:style>
  <w:style w:type="character" w:styleId="1329" w:customStyle="1">
    <w:name w:val="WW8Num51z6"/>
  </w:style>
  <w:style w:type="character" w:styleId="1330" w:customStyle="1">
    <w:name w:val="WW8Num51z7"/>
  </w:style>
  <w:style w:type="character" w:styleId="1331" w:customStyle="1">
    <w:name w:val="WW8Num51z8"/>
  </w:style>
  <w:style w:type="character" w:styleId="1332" w:customStyle="1">
    <w:name w:val="WW8Num52z0"/>
    <w:rPr>
      <w:rFonts w:ascii="Times New Roman" w:hAnsi="Times New Roman" w:eastAsia="Times New Roman" w:cs="Times New Roman"/>
    </w:rPr>
  </w:style>
  <w:style w:type="character" w:styleId="1333" w:customStyle="1">
    <w:name w:val="WW8Num52z1"/>
    <w:rPr>
      <w:rFonts w:ascii="Courier New" w:hAnsi="Courier New" w:cs="Courier New"/>
    </w:rPr>
  </w:style>
  <w:style w:type="character" w:styleId="1334" w:customStyle="1">
    <w:name w:val="WW8Num52z2"/>
    <w:rPr>
      <w:rFonts w:ascii="Wingdings" w:hAnsi="Wingdings" w:cs="Wingdings"/>
    </w:rPr>
  </w:style>
  <w:style w:type="character" w:styleId="1335" w:customStyle="1">
    <w:name w:val="WW8Num52z3"/>
    <w:rPr>
      <w:rFonts w:ascii="Symbol" w:hAnsi="Symbol" w:cs="Symbol"/>
    </w:rPr>
  </w:style>
  <w:style w:type="character" w:styleId="1336" w:customStyle="1">
    <w:name w:val="WW8Num53z0"/>
    <w:rPr>
      <w:rFonts w:ascii="Symbol" w:hAnsi="Symbol" w:cs="Symbol"/>
      <w:sz w:val="22"/>
      <w:szCs w:val="22"/>
    </w:rPr>
  </w:style>
  <w:style w:type="character" w:styleId="1337" w:customStyle="1">
    <w:name w:val="WW8Num53z1"/>
    <w:rPr>
      <w:rFonts w:ascii="Courier New" w:hAnsi="Courier New" w:cs="Courier New"/>
    </w:rPr>
  </w:style>
  <w:style w:type="character" w:styleId="1338" w:customStyle="1">
    <w:name w:val="WW8Num53z2"/>
    <w:rPr>
      <w:rFonts w:ascii="Wingdings" w:hAnsi="Wingdings" w:cs="Wingdings"/>
    </w:rPr>
  </w:style>
  <w:style w:type="character" w:styleId="1339">
    <w:name w:val="annotation reference"/>
    <w:rPr>
      <w:sz w:val="16"/>
      <w:szCs w:val="16"/>
    </w:rPr>
  </w:style>
  <w:style w:type="character" w:styleId="1340">
    <w:name w:val="page number"/>
    <w:basedOn w:val="729"/>
  </w:style>
  <w:style w:type="character" w:styleId="1341" w:customStyle="1">
    <w:name w:val="Название Знак"/>
    <w:rPr>
      <w:b/>
      <w:bCs/>
      <w:sz w:val="24"/>
      <w:szCs w:val="24"/>
      <w:lang w:val="ru-RU" w:bidi="ar-SA"/>
    </w:rPr>
  </w:style>
  <w:style w:type="character" w:styleId="1342" w:customStyle="1">
    <w:name w:val="Заголовок 3 Знак"/>
    <w:rPr>
      <w:b/>
      <w:sz w:val="28"/>
      <w:lang w:val="ru-RU" w:bidi="ar-SA"/>
    </w:rPr>
  </w:style>
  <w:style w:type="character" w:styleId="1343" w:customStyle="1">
    <w:name w:val="Знак Знак3"/>
    <w:rPr>
      <w:b/>
      <w:sz w:val="28"/>
    </w:rPr>
  </w:style>
  <w:style w:type="character" w:styleId="1344" w:customStyle="1">
    <w:name w:val="Текст сноски Знак"/>
    <w:basedOn w:val="729"/>
    <w:rPr>
      <w:rFonts w:ascii="Times New Roman" w:hAnsi="Times New Roman" w:eastAsia="Times New Roman" w:cs="Times New Roman"/>
      <w:sz w:val="20"/>
      <w:szCs w:val="20"/>
    </w:rPr>
  </w:style>
  <w:style w:type="character" w:styleId="1345">
    <w:name w:val="footnote reference"/>
    <w:rPr>
      <w:vertAlign w:val="superscript"/>
    </w:rPr>
  </w:style>
  <w:style w:type="character" w:styleId="1346" w:customStyle="1">
    <w:name w:val="Текст концевой сноски Знак"/>
    <w:basedOn w:val="729"/>
    <w:rPr>
      <w:rFonts w:ascii="Times New Roman" w:hAnsi="Times New Roman" w:eastAsia="Times New Roman" w:cs="Times New Roman"/>
      <w:sz w:val="20"/>
      <w:szCs w:val="20"/>
    </w:rPr>
  </w:style>
  <w:style w:type="character" w:styleId="1347">
    <w:name w:val="endnote reference"/>
    <w:rPr>
      <w:vertAlign w:val="superscript"/>
    </w:rPr>
  </w:style>
  <w:style w:type="character" w:styleId="1348" w:customStyle="1">
    <w:name w:val="ListLabel 1"/>
    <w:rPr>
      <w:color w:val="000000"/>
      <w:sz w:val="22"/>
      <w:szCs w:val="22"/>
    </w:rPr>
  </w:style>
  <w:style w:type="character" w:styleId="1349" w:customStyle="1">
    <w:name w:val="ListLabel 2"/>
    <w:rPr>
      <w:sz w:val="22"/>
      <w:szCs w:val="22"/>
    </w:rPr>
  </w:style>
  <w:style w:type="character" w:styleId="1350" w:customStyle="1">
    <w:name w:val="ListLabel 3"/>
    <w:rPr>
      <w:b w:val="0"/>
      <w:bCs/>
      <w:i/>
      <w:sz w:val="22"/>
      <w:szCs w:val="22"/>
    </w:rPr>
  </w:style>
  <w:style w:type="character" w:styleId="1351" w:customStyle="1">
    <w:name w:val="ListLabel 4"/>
    <w:rPr>
      <w:rFonts w:cs="Symbol"/>
      <w:sz w:val="22"/>
      <w:szCs w:val="22"/>
    </w:rPr>
  </w:style>
  <w:style w:type="character" w:styleId="1352" w:customStyle="1">
    <w:name w:val="ListLabel 5"/>
    <w:rPr>
      <w:color w:val="000000"/>
    </w:rPr>
  </w:style>
  <w:style w:type="character" w:styleId="1353" w:customStyle="1">
    <w:name w:val="ListLabel 6"/>
    <w:rPr>
      <w:b w:val="0"/>
    </w:rPr>
  </w:style>
  <w:style w:type="character" w:styleId="1354" w:customStyle="1">
    <w:name w:val="ListLabel 7"/>
    <w:rPr>
      <w:rFonts w:cs="Symbol"/>
    </w:rPr>
  </w:style>
  <w:style w:type="character" w:styleId="1355" w:customStyle="1">
    <w:name w:val="ListLabel 8"/>
    <w:rPr>
      <w:b w:val="0"/>
      <w:sz w:val="22"/>
      <w:szCs w:val="22"/>
    </w:rPr>
  </w:style>
  <w:style w:type="character" w:styleId="1356" w:customStyle="1">
    <w:name w:val="ListLabel 9"/>
    <w:rPr>
      <w:i/>
      <w:sz w:val="22"/>
      <w:szCs w:val="22"/>
    </w:rPr>
  </w:style>
  <w:style w:type="character" w:styleId="1357" w:customStyle="1">
    <w:name w:val="ListLabel 10"/>
    <w:rPr>
      <w:bCs/>
      <w:sz w:val="22"/>
      <w:szCs w:val="22"/>
    </w:rPr>
  </w:style>
  <w:style w:type="character" w:styleId="1358" w:customStyle="1">
    <w:name w:val="ListLabel 11"/>
    <w:rPr>
      <w:i w:val="0"/>
      <w:sz w:val="22"/>
      <w:szCs w:val="22"/>
    </w:rPr>
  </w:style>
  <w:style w:type="character" w:styleId="1359" w:customStyle="1">
    <w:name w:val="ListLabel 12"/>
    <w:rPr>
      <w:b w:val="0"/>
      <w:bCs/>
      <w:sz w:val="22"/>
      <w:szCs w:val="22"/>
    </w:rPr>
  </w:style>
  <w:style w:type="character" w:styleId="1360" w:customStyle="1">
    <w:name w:val="ListLabel 13"/>
    <w:rPr>
      <w:b/>
    </w:rPr>
  </w:style>
  <w:style w:type="character" w:styleId="1361" w:customStyle="1">
    <w:name w:val="ListLabel 14"/>
    <w:rPr>
      <w:b w:val="0"/>
      <w:color w:val="000000"/>
      <w:sz w:val="22"/>
      <w:szCs w:val="22"/>
    </w:rPr>
  </w:style>
  <w:style w:type="character" w:styleId="1362" w:customStyle="1">
    <w:name w:val="ListLabel 15"/>
    <w:rPr>
      <w:rFonts w:cs="Times New Roman"/>
    </w:rPr>
  </w:style>
  <w:style w:type="character" w:styleId="1363" w:customStyle="1">
    <w:name w:val="ListLabel 16"/>
    <w:rPr>
      <w:rFonts w:cs="Times New Roman"/>
      <w:b w:val="0"/>
      <w:i w:val="0"/>
      <w:sz w:val="24"/>
      <w:szCs w:val="24"/>
    </w:rPr>
  </w:style>
  <w:style w:type="character" w:styleId="1364" w:customStyle="1">
    <w:name w:val="ListLabel 17"/>
    <w:rPr>
      <w:rFonts w:cs="Courier New"/>
    </w:rPr>
  </w:style>
  <w:style w:type="character" w:styleId="1365" w:customStyle="1">
    <w:name w:val="Привязка сноски"/>
    <w:rPr>
      <w:vertAlign w:val="superscript"/>
    </w:rPr>
  </w:style>
  <w:style w:type="character" w:styleId="1366" w:customStyle="1">
    <w:name w:val="Привязка концевой сноски"/>
    <w:rPr>
      <w:vertAlign w:val="superscript"/>
    </w:rPr>
  </w:style>
  <w:style w:type="character" w:styleId="1367" w:customStyle="1">
    <w:name w:val="ListLabel 18"/>
    <w:rPr>
      <w:color w:val="000000"/>
      <w:sz w:val="22"/>
      <w:szCs w:val="22"/>
    </w:rPr>
  </w:style>
  <w:style w:type="character" w:styleId="1368" w:customStyle="1">
    <w:name w:val="ListLabel 19"/>
    <w:rPr>
      <w:sz w:val="22"/>
      <w:szCs w:val="22"/>
    </w:rPr>
  </w:style>
  <w:style w:type="character" w:styleId="1369" w:customStyle="1">
    <w:name w:val="ListLabel 20"/>
    <w:rPr>
      <w:b w:val="0"/>
      <w:bCs/>
      <w:i/>
      <w:sz w:val="22"/>
      <w:szCs w:val="22"/>
    </w:rPr>
  </w:style>
  <w:style w:type="character" w:styleId="1370" w:customStyle="1">
    <w:name w:val="ListLabel 21"/>
    <w:rPr>
      <w:rFonts w:cs="Symbol"/>
      <w:sz w:val="22"/>
      <w:szCs w:val="22"/>
    </w:rPr>
  </w:style>
  <w:style w:type="character" w:styleId="1371" w:customStyle="1">
    <w:name w:val="ListLabel 22"/>
    <w:rPr>
      <w:color w:val="000000"/>
    </w:rPr>
  </w:style>
  <w:style w:type="character" w:styleId="1372" w:customStyle="1">
    <w:name w:val="ListLabel 23"/>
    <w:rPr>
      <w:b w:val="0"/>
    </w:rPr>
  </w:style>
  <w:style w:type="character" w:styleId="1373" w:customStyle="1">
    <w:name w:val="ListLabel 24"/>
    <w:rPr>
      <w:rFonts w:cs="Symbol"/>
    </w:rPr>
  </w:style>
  <w:style w:type="character" w:styleId="1374" w:customStyle="1">
    <w:name w:val="ListLabel 25"/>
    <w:rPr>
      <w:i/>
      <w:sz w:val="22"/>
      <w:szCs w:val="22"/>
    </w:rPr>
  </w:style>
  <w:style w:type="character" w:styleId="1375" w:customStyle="1">
    <w:name w:val="ListLabel 26"/>
    <w:rPr>
      <w:bCs/>
      <w:sz w:val="22"/>
      <w:szCs w:val="22"/>
    </w:rPr>
  </w:style>
  <w:style w:type="character" w:styleId="1376" w:customStyle="1">
    <w:name w:val="ListLabel 27"/>
    <w:rPr>
      <w:i w:val="0"/>
      <w:sz w:val="22"/>
      <w:szCs w:val="22"/>
    </w:rPr>
  </w:style>
  <w:style w:type="character" w:styleId="1377" w:customStyle="1">
    <w:name w:val="ListLabel 28"/>
    <w:rPr>
      <w:b w:val="0"/>
      <w:bCs/>
      <w:sz w:val="22"/>
      <w:szCs w:val="22"/>
    </w:rPr>
  </w:style>
  <w:style w:type="character" w:styleId="1378" w:customStyle="1">
    <w:name w:val="ListLabel 29"/>
    <w:rPr>
      <w:b w:val="0"/>
      <w:sz w:val="22"/>
      <w:szCs w:val="22"/>
    </w:rPr>
  </w:style>
  <w:style w:type="character" w:styleId="1379" w:customStyle="1">
    <w:name w:val="ListLabel 30"/>
    <w:rPr>
      <w:b/>
    </w:rPr>
  </w:style>
  <w:style w:type="character" w:styleId="1380" w:customStyle="1">
    <w:name w:val="ListLabel 31"/>
    <w:rPr>
      <w:b w:val="0"/>
      <w:color w:val="000000"/>
      <w:sz w:val="22"/>
      <w:szCs w:val="22"/>
    </w:rPr>
  </w:style>
  <w:style w:type="character" w:styleId="1381" w:customStyle="1">
    <w:name w:val="ListLabel 32"/>
    <w:rPr>
      <w:rFonts w:cs="Times New Roman"/>
    </w:rPr>
  </w:style>
  <w:style w:type="character" w:styleId="1382" w:customStyle="1">
    <w:name w:val="ListLabel 33"/>
    <w:rPr>
      <w:rFonts w:cs="Courier New"/>
    </w:rPr>
  </w:style>
  <w:style w:type="character" w:styleId="1383" w:customStyle="1">
    <w:name w:val="ListLabel 34"/>
    <w:rPr>
      <w:rFonts w:cs="Wingdings"/>
    </w:rPr>
  </w:style>
  <w:style w:type="character" w:styleId="1384" w:customStyle="1">
    <w:name w:val="ListLabel 35"/>
    <w:rPr>
      <w:color w:val="000000"/>
      <w:sz w:val="22"/>
      <w:szCs w:val="22"/>
    </w:rPr>
  </w:style>
  <w:style w:type="character" w:styleId="1385" w:customStyle="1">
    <w:name w:val="ListLabel 36"/>
    <w:rPr>
      <w:sz w:val="22"/>
      <w:szCs w:val="22"/>
    </w:rPr>
  </w:style>
  <w:style w:type="character" w:styleId="1386" w:customStyle="1">
    <w:name w:val="ListLabel 37"/>
    <w:rPr>
      <w:b w:val="0"/>
      <w:bCs/>
      <w:i/>
      <w:sz w:val="22"/>
      <w:szCs w:val="22"/>
    </w:rPr>
  </w:style>
  <w:style w:type="character" w:styleId="1387" w:customStyle="1">
    <w:name w:val="ListLabel 38"/>
    <w:rPr>
      <w:rFonts w:cs="Symbol"/>
      <w:sz w:val="22"/>
      <w:szCs w:val="22"/>
    </w:rPr>
  </w:style>
  <w:style w:type="character" w:styleId="1388" w:customStyle="1">
    <w:name w:val="ListLabel 39"/>
    <w:rPr>
      <w:color w:val="000000"/>
    </w:rPr>
  </w:style>
  <w:style w:type="character" w:styleId="1389" w:customStyle="1">
    <w:name w:val="ListLabel 40"/>
    <w:rPr>
      <w:b w:val="0"/>
    </w:rPr>
  </w:style>
  <w:style w:type="character" w:styleId="1390" w:customStyle="1">
    <w:name w:val="ListLabel 41"/>
    <w:rPr>
      <w:rFonts w:cs="Symbol"/>
    </w:rPr>
  </w:style>
  <w:style w:type="character" w:styleId="1391" w:customStyle="1">
    <w:name w:val="ListLabel 42"/>
    <w:rPr>
      <w:i/>
      <w:sz w:val="22"/>
      <w:szCs w:val="22"/>
    </w:rPr>
  </w:style>
  <w:style w:type="character" w:styleId="1392" w:customStyle="1">
    <w:name w:val="ListLabel 43"/>
    <w:rPr>
      <w:bCs/>
      <w:sz w:val="22"/>
      <w:szCs w:val="22"/>
    </w:rPr>
  </w:style>
  <w:style w:type="character" w:styleId="1393" w:customStyle="1">
    <w:name w:val="ListLabel 44"/>
    <w:rPr>
      <w:i w:val="0"/>
      <w:sz w:val="22"/>
      <w:szCs w:val="22"/>
    </w:rPr>
  </w:style>
  <w:style w:type="character" w:styleId="1394" w:customStyle="1">
    <w:name w:val="ListLabel 45"/>
    <w:rPr>
      <w:b w:val="0"/>
      <w:bCs/>
      <w:sz w:val="22"/>
      <w:szCs w:val="22"/>
    </w:rPr>
  </w:style>
  <w:style w:type="character" w:styleId="1395" w:customStyle="1">
    <w:name w:val="ListLabel 46"/>
    <w:rPr>
      <w:b w:val="0"/>
      <w:sz w:val="22"/>
      <w:szCs w:val="22"/>
    </w:rPr>
  </w:style>
  <w:style w:type="character" w:styleId="1396" w:customStyle="1">
    <w:name w:val="ListLabel 47"/>
    <w:rPr>
      <w:b/>
    </w:rPr>
  </w:style>
  <w:style w:type="character" w:styleId="1397" w:customStyle="1">
    <w:name w:val="ListLabel 48"/>
    <w:rPr>
      <w:b w:val="0"/>
      <w:color w:val="000000"/>
      <w:sz w:val="22"/>
      <w:szCs w:val="22"/>
    </w:rPr>
  </w:style>
  <w:style w:type="character" w:styleId="1398" w:customStyle="1">
    <w:name w:val="ListLabel 49"/>
    <w:rPr>
      <w:rFonts w:cs="Times New Roman"/>
    </w:rPr>
  </w:style>
  <w:style w:type="character" w:styleId="1399" w:customStyle="1">
    <w:name w:val="ListLabel 50"/>
    <w:rPr>
      <w:rFonts w:cs="Courier New"/>
    </w:rPr>
  </w:style>
  <w:style w:type="character" w:styleId="1400" w:customStyle="1">
    <w:name w:val="ListLabel 51"/>
    <w:rPr>
      <w:rFonts w:cs="Wingdings"/>
    </w:rPr>
  </w:style>
  <w:style w:type="character" w:styleId="1401" w:customStyle="1">
    <w:name w:val="Символ сноски"/>
  </w:style>
  <w:style w:type="character" w:styleId="1402" w:customStyle="1">
    <w:name w:val="WW8Num76z0"/>
  </w:style>
  <w:style w:type="character" w:styleId="1403" w:customStyle="1">
    <w:name w:val="WW8Num76z1"/>
  </w:style>
  <w:style w:type="character" w:styleId="1404" w:customStyle="1">
    <w:name w:val="WW8Num76z2"/>
  </w:style>
  <w:style w:type="character" w:styleId="1405" w:customStyle="1">
    <w:name w:val="WW8Num76z3"/>
  </w:style>
  <w:style w:type="character" w:styleId="1406" w:customStyle="1">
    <w:name w:val="WW8Num76z4"/>
  </w:style>
  <w:style w:type="character" w:styleId="1407" w:customStyle="1">
    <w:name w:val="WW8Num76z5"/>
  </w:style>
  <w:style w:type="character" w:styleId="1408" w:customStyle="1">
    <w:name w:val="WW8Num76z6"/>
  </w:style>
  <w:style w:type="character" w:styleId="1409" w:customStyle="1">
    <w:name w:val="WW8Num76z7"/>
  </w:style>
  <w:style w:type="character" w:styleId="1410" w:customStyle="1">
    <w:name w:val="WW8Num76z8"/>
  </w:style>
  <w:style w:type="character" w:styleId="1411" w:customStyle="1">
    <w:name w:val="Символы концевой сноски"/>
  </w:style>
  <w:style w:type="paragraph" w:styleId="1412">
    <w:name w:val="Title"/>
    <w:basedOn w:val="719"/>
    <w:next w:val="1413"/>
    <w:link w:val="760"/>
    <w:pPr>
      <w:jc w:val="center"/>
      <w:keepNext/>
      <w:spacing w:before="240" w:after="120"/>
      <w:widowControl w:val="off"/>
    </w:pPr>
    <w:rPr>
      <w:rFonts w:ascii="Arial" w:hAnsi="Arial" w:eastAsia="Microsoft YaHei" w:cs="Arial"/>
      <w:b/>
      <w:bCs/>
      <w:sz w:val="28"/>
      <w:szCs w:val="28"/>
    </w:rPr>
  </w:style>
  <w:style w:type="paragraph" w:styleId="1413">
    <w:name w:val="Body Text"/>
    <w:basedOn w:val="719"/>
    <w:pPr>
      <w:spacing w:after="120"/>
    </w:pPr>
  </w:style>
  <w:style w:type="paragraph" w:styleId="1414">
    <w:name w:val="List"/>
    <w:basedOn w:val="1413"/>
    <w:rPr>
      <w:rFonts w:cs="Mangal"/>
    </w:rPr>
  </w:style>
  <w:style w:type="paragraph" w:styleId="1415" w:customStyle="1">
    <w:name w:val="Название1"/>
    <w:basedOn w:val="719"/>
    <w:pPr>
      <w:spacing w:before="120" w:after="120"/>
      <w:suppressLineNumbers/>
    </w:pPr>
    <w:rPr>
      <w:rFonts w:cs="Arial"/>
      <w:i/>
      <w:iCs/>
    </w:rPr>
  </w:style>
  <w:style w:type="paragraph" w:styleId="1416">
    <w:name w:val="index heading"/>
    <w:basedOn w:val="719"/>
    <w:pPr>
      <w:suppressLineNumbers/>
    </w:pPr>
    <w:rPr>
      <w:rFonts w:cs="Mangal"/>
    </w:rPr>
  </w:style>
  <w:style w:type="paragraph" w:styleId="1417" w:customStyle="1">
    <w:name w:val="Заглавие"/>
    <w:basedOn w:val="719"/>
    <w:pPr>
      <w:spacing w:before="120" w:after="120"/>
      <w:suppressLineNumbers/>
    </w:pPr>
    <w:rPr>
      <w:rFonts w:cs="Mangal"/>
      <w:i/>
      <w:iCs/>
    </w:rPr>
  </w:style>
  <w:style w:type="paragraph" w:styleId="1418" w:customStyle="1">
    <w:name w:val="ConsNormal"/>
    <w:uiPriority w:val="99"/>
    <w:pPr>
      <w:ind w:firstLine="720"/>
      <w:spacing w:after="200" w:line="276" w:lineRule="auto"/>
      <w:widowControl w:val="off"/>
    </w:pPr>
    <w:rPr>
      <w:rFonts w:ascii="Arial" w:hAnsi="Arial" w:eastAsia="Times New Roman" w:cs="Arial"/>
      <w:color w:val="00000a"/>
      <w:sz w:val="20"/>
      <w:szCs w:val="20"/>
      <w:lang w:eastAsia="zh-CN"/>
    </w:rPr>
  </w:style>
  <w:style w:type="paragraph" w:styleId="1419" w:customStyle="1">
    <w:name w:val="Таблицы (моноширинный)"/>
    <w:basedOn w:val="719"/>
    <w:pPr>
      <w:jc w:val="both"/>
      <w:widowControl w:val="off"/>
    </w:pPr>
    <w:rPr>
      <w:rFonts w:ascii="Courier New" w:hAnsi="Courier New" w:cs="Courier New"/>
      <w:sz w:val="20"/>
      <w:szCs w:val="20"/>
    </w:rPr>
  </w:style>
  <w:style w:type="paragraph" w:styleId="1420">
    <w:name w:val="Body Text Indent 2"/>
    <w:basedOn w:val="719"/>
    <w:pPr>
      <w:ind w:left="1843"/>
      <w:jc w:val="both"/>
      <w:widowControl w:val="off"/>
    </w:pPr>
    <w:rPr>
      <w:szCs w:val="20"/>
    </w:rPr>
  </w:style>
  <w:style w:type="paragraph" w:styleId="1421">
    <w:name w:val="Balloon Text"/>
    <w:basedOn w:val="719"/>
    <w:pPr>
      <w:widowControl w:val="off"/>
    </w:pPr>
    <w:rPr>
      <w:rFonts w:ascii="Tahoma" w:hAnsi="Tahoma" w:cs="Tahoma"/>
      <w:sz w:val="16"/>
      <w:szCs w:val="16"/>
    </w:rPr>
  </w:style>
  <w:style w:type="paragraph" w:styleId="1422">
    <w:name w:val="Header"/>
    <w:basedOn w:val="719"/>
    <w:link w:val="767"/>
    <w:pPr>
      <w:widowControl w:val="off"/>
      <w:tabs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1423">
    <w:name w:val="Footer"/>
    <w:basedOn w:val="719"/>
    <w:link w:val="768"/>
    <w:pPr>
      <w:widowControl w:val="off"/>
      <w:tabs>
        <w:tab w:val="center" w:pos="4677" w:leader="none"/>
        <w:tab w:val="right" w:pos="9355" w:leader="none"/>
      </w:tabs>
    </w:pPr>
    <w:rPr>
      <w:sz w:val="20"/>
      <w:szCs w:val="20"/>
    </w:rPr>
  </w:style>
  <w:style w:type="paragraph" w:styleId="1424">
    <w:name w:val="Body Text 2"/>
    <w:basedOn w:val="719"/>
    <w:pPr>
      <w:spacing w:after="120" w:line="480" w:lineRule="auto"/>
    </w:pPr>
  </w:style>
  <w:style w:type="paragraph" w:styleId="1425">
    <w:name w:val="Caption"/>
    <w:basedOn w:val="719"/>
    <w:link w:val="769"/>
    <w:pPr>
      <w:jc w:val="center"/>
    </w:pPr>
    <w:rPr>
      <w:b/>
      <w:szCs w:val="20"/>
    </w:rPr>
  </w:style>
  <w:style w:type="paragraph" w:styleId="1426">
    <w:name w:val="annotation text"/>
    <w:basedOn w:val="719"/>
    <w:rPr>
      <w:sz w:val="20"/>
      <w:szCs w:val="20"/>
    </w:rPr>
  </w:style>
  <w:style w:type="paragraph" w:styleId="1427">
    <w:name w:val="annotation subject"/>
    <w:basedOn w:val="1426"/>
    <w:rPr>
      <w:b/>
      <w:bCs/>
    </w:rPr>
  </w:style>
  <w:style w:type="paragraph" w:styleId="1428" w:customStyle="1">
    <w:name w:val="a"/>
    <w:basedOn w:val="719"/>
    <w:pPr>
      <w:spacing w:before="280" w:after="280"/>
    </w:pPr>
  </w:style>
  <w:style w:type="paragraph" w:styleId="1429" w:customStyle="1">
    <w:name w:val="a0"/>
    <w:basedOn w:val="719"/>
    <w:pPr>
      <w:spacing w:before="280" w:after="280"/>
    </w:pPr>
  </w:style>
  <w:style w:type="paragraph" w:styleId="1430" w:customStyle="1">
    <w:name w:val="Знак Знак Знак Знак Знак"/>
    <w:basedOn w:val="719"/>
    <w:pPr>
      <w:ind w:left="432" w:hanging="432"/>
      <w:jc w:val="both"/>
      <w:spacing w:before="120" w:after="160"/>
      <w:tabs>
        <w:tab w:val="left" w:pos="432" w:leader="none"/>
      </w:tabs>
    </w:pPr>
    <w:rPr>
      <w:rFonts w:ascii="Arial" w:hAnsi="Arial" w:cs="Arial"/>
      <w:b/>
      <w:bCs/>
      <w:caps/>
      <w:sz w:val="32"/>
      <w:szCs w:val="32"/>
      <w:lang w:val="en-US"/>
    </w:rPr>
  </w:style>
  <w:style w:type="paragraph" w:styleId="1431">
    <w:name w:val="List Paragraph"/>
    <w:basedOn w:val="719"/>
    <w:link w:val="1439"/>
    <w:uiPriority w:val="99"/>
    <w:qFormat/>
    <w:pPr>
      <w:contextualSpacing/>
      <w:ind w:left="720"/>
      <w:spacing w:after="0"/>
    </w:pPr>
  </w:style>
  <w:style w:type="paragraph" w:styleId="1432" w:customStyle="1">
    <w:name w:val="Содержимое врезки"/>
    <w:basedOn w:val="719"/>
  </w:style>
  <w:style w:type="paragraph" w:styleId="1433" w:customStyle="1">
    <w:name w:val="Содержимое таблицы"/>
    <w:basedOn w:val="719"/>
    <w:pPr>
      <w:suppressLineNumbers/>
    </w:pPr>
  </w:style>
  <w:style w:type="paragraph" w:styleId="1434" w:customStyle="1">
    <w:name w:val="Заголовок таблицы"/>
    <w:basedOn w:val="1433"/>
    <w:pPr>
      <w:jc w:val="center"/>
    </w:pPr>
    <w:rPr>
      <w:b/>
      <w:bCs/>
    </w:rPr>
  </w:style>
  <w:style w:type="paragraph" w:styleId="1435">
    <w:name w:val="footnote text"/>
    <w:basedOn w:val="719"/>
    <w:link w:val="896"/>
    <w:pPr>
      <w:spacing w:after="0" w:line="100" w:lineRule="atLeast"/>
    </w:pPr>
    <w:rPr>
      <w:sz w:val="20"/>
      <w:szCs w:val="20"/>
      <w:lang w:eastAsia="ru-RU"/>
    </w:rPr>
  </w:style>
  <w:style w:type="paragraph" w:styleId="1436">
    <w:name w:val="endnote text"/>
    <w:basedOn w:val="719"/>
    <w:link w:val="897"/>
    <w:pPr>
      <w:spacing w:after="0" w:line="100" w:lineRule="atLeast"/>
    </w:pPr>
    <w:rPr>
      <w:sz w:val="20"/>
      <w:szCs w:val="20"/>
      <w:lang w:eastAsia="ru-RU"/>
    </w:rPr>
  </w:style>
  <w:style w:type="paragraph" w:styleId="1437" w:customStyle="1">
    <w:name w:val="Сноска"/>
    <w:basedOn w:val="719"/>
  </w:style>
  <w:style w:type="table" w:styleId="1438">
    <w:name w:val="Table Grid"/>
    <w:basedOn w:val="730"/>
    <w:uiPriority w:val="59"/>
    <w:pPr>
      <w:spacing w:after="0" w:line="240" w:lineRule="auto"/>
    </w:pPr>
    <w:rPr>
      <w:rFonts w:ascii="Times New Roman" w:hAnsi="Times New Roman" w:eastAsia="Calibri" w:cs="Times New Roman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1439" w:customStyle="1">
    <w:name w:val="Абзац списка Знак"/>
    <w:link w:val="1431"/>
    <w:uiPriority w:val="99"/>
    <w:qFormat/>
    <w:rPr>
      <w:rFonts w:ascii="Times New Roman" w:hAnsi="Times New Roman" w:eastAsia="Times New Roman" w:cs="Times New Roman"/>
      <w:color w:val="00000a"/>
      <w:sz w:val="24"/>
      <w:szCs w:val="24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secretary_pechgres@interra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BC5E8-9313-441A-83DC-9D5905EE2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InterRAO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tsypilev_ag</dc:creator>
  <cp:lastModifiedBy>rutskaya_iv</cp:lastModifiedBy>
  <cp:revision>4</cp:revision>
  <dcterms:created xsi:type="dcterms:W3CDTF">2026-09-10T08:09:00Z</dcterms:created>
  <dcterms:modified xsi:type="dcterms:W3CDTF">2026-09-11T07:16:09Z</dcterms:modified>
</cp:coreProperties>
</file>