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3940"/>
        <w:gridCol w:w="3600"/>
        <w:gridCol w:w="3860"/>
        <w:gridCol w:w="100"/>
      </w:tblGrid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bookmarkStart w:id="0" w:name="JR_PAGE_ANCHOR_0_1"/>
            <w:r/>
            <w:bookmarkEnd w:id="0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9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lang w:val="en-US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286000" cy="635000"/>
                      <wp:effectExtent l="0" t="0" r="0" b="0"/>
                      <wp:wrapNone/>
                      <wp:docPr id="1" name="Picture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53556537" name="Picture"/>
                              <pic:cNvPicPr/>
                              <pic:nvPr/>
                            </pic:nvPicPr>
                            <pic:blipFill>
                              <a:blip r:embed="rId8"/>
                              <a:srcRect l="0" t="0" r="-8162" b="0"/>
                              <a:stretch/>
                            </pic:blipFill>
                            <pic:spPr bwMode="auto">
                              <a:xfrm rot="0">
                                <a:off x="0" y="0"/>
                                <a:ext cx="2286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0;o:allowoverlap:true;o:allowincell:true;mso-position-horizontal-relative:text;margin-left:0.00pt;mso-position-horizontal:absolute;mso-position-vertical-relative:text;margin-top:0.00pt;mso-position-vertical:absolute;width:180.00pt;height:5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vMerge w:val="continue"/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8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shd w:val="clear" w:color="auto" w:fill="ffffff"/>
            <w:tcBorders>
              <w:top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58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u w:val="single"/>
                <w:lang w:val="ru-RU"/>
              </w:rPr>
              <w:t xml:space="preserve">РУКОВОДСТВО ПО ЭКСПЕРТНОЙ ОЦЕНКЕ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1400"/>
        <w:gridCol w:w="200"/>
        <w:gridCol w:w="1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1" w:name="JR_PAGE_ANCHOR_0_2"/>
            <w:r/>
            <w:bookmarkEnd w:id="1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Оценка и сопоставление заявок (оценочная стадия) лот № 540.26.00484 Ремонт гидроизоляции защитного сооружения № 401 Филиала "Печорская ГРЭС" АО "Интер РАО - Электрогенерация"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80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ind w:lef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1. Для определения лучших условий исполнения Договора закупочная/конкурсная комиссия оценивает и сопоставляет заявки по степени выгодности для Заказчика, исходя из следующих критериев: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47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000"/>
              <w:gridCol w:w="3000"/>
              <w:gridCol w:w="2000"/>
              <w:gridCol w:w="1400"/>
              <w:gridCol w:w="1400"/>
              <w:gridCol w:w="1400"/>
              <w:gridCol w:w="1400"/>
            </w:tblGrid>
            <w:tr>
              <w:tblPrEx/>
              <w:trPr>
                <w:trHeight w:val="30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№ п/п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Направление</w:t>
                          <w:br/>
                          <w:br/>
                          <w:t xml:space="preserve">экспертной</w:t>
                          <w:br/>
                          <w:br/>
                          <w:t xml:space="preserve">оценки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Краткое наименование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Обозначение выставленного по критерию балла / полученного значения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Значимость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3000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Обозначение значимости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Деловая репутация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Деловая репутация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Экономическая безопасность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Коммерческое предложение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40%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Цена договора, предложенная участником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Коммерческая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Надежность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40%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8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Добровольные системы подтверждения квалификации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136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136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Аккредитация в Группе «Интер РАО» в качестве поставщика, закупаемых в рамках данной процедуры товаров, работ, услуг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50%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19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3.1.2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19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сертифицированных систем менеджмента и/или иных добровольных сертифицированных подтверждений компетенции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50%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3.1.2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Опыт выполнения работ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Опыт выполнения работ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3.2.1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Ресурсные возможности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35%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и квалификация персонала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50%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материальных ресурсов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Квалификационная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50%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3.3.2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8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Экономические риски с учётом платёжеспособности и финансовой устойчивости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8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Финансово-экономическая 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25%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3.4.1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8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Экономические риски с учётом платёжеспособности и финансовой устойчивости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82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Финансово-экономическая 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3.4.1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1400"/>
        <w:gridCol w:w="200"/>
        <w:gridCol w:w="1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2" w:name="JR_PAGE_ANCHOR_0_3"/>
            <w:r/>
            <w:bookmarkEnd w:id="2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2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000"/>
              <w:gridCol w:w="3000"/>
              <w:gridCol w:w="2000"/>
              <w:gridCol w:w="1400"/>
              <w:gridCol w:w="1400"/>
              <w:gridCol w:w="1400"/>
              <w:gridCol w:w="1400"/>
            </w:tblGrid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Оценка технического предложения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2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Гарантийные обязательства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Техническая экспертиза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k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en-US"/>
                          </w:rPr>
                          <w:t xml:space="preserve">100%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</w:tblGrid>
                  <w:tr>
                    <w:tblPrEx/>
                    <w:trPr>
                      <w:trHeight w:val="600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4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i/>
                            <w:color w:val="000000"/>
                            <w:sz w:val="32"/>
                            <w:lang w:val="en-US"/>
                          </w:rPr>
                          <w:t xml:space="preserve">b</w:t>
                        </w:r>
                        <w:r>
                          <w:rPr>
                            <w:rFonts w:ascii="Times New Roman" w:hAnsi="Times New Roman" w:eastAsia="Times New Roman" w:cs="Times New Roman"/>
                            <w:i/>
                            <w:color w:val="000000"/>
                            <w:sz w:val="20"/>
                            <w:lang w:val="en-US"/>
                          </w:rPr>
                          <w:t xml:space="preserve">4.1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br/>
              <w:t xml:space="preserve"> 2. В случае проведения закупки участниками которой могут быть только СМСП, и выбором способа  закупочной процедуры "конкурс" или "запрос предложений"  рассмотрение и оценка проводиться  в три этапа: </w:t>
              <w:br/>
              <w:t xml:space="preserve"> - на первом этапе 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роводиться экспертиза только по техническому направлению; </w:t>
              <w:br/>
              <w:t xml:space="preserve"> - на втором этапе проводятся экспертизы по направлениям: экономическая безопасность, квалификационная, финансово-экономическая, юридическая; </w:t>
              <w:br/>
              <w:t xml:space="preserve">- на третьем этапе проводится коммерческая экспертиза.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54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ind w:lef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3. Закупочная/конкурсная комиссия (Экспертная группа по поручению закупочной/конкурсной комиссии) оценивает и сопоставляет заявки в соответствии с критериями, указанными в п. 1.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60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4. Присвоение баллов осуществляется экспертным путем в соответствии с Приложением 1 к настоящему Руководству.</w:t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4.1.  Присвоение баллов заявкам по критерию 1 Деловая репутация Участника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1 Деловая репутация Участника;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1;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1.</w:t>
                  </w:r>
                  <w:r/>
                </w:p>
              </w:tc>
            </w:tr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4.2.  Присвоение баллов заявкам по критерию 2 Коммерческое предложение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2 Коммерческое предложение;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2;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2.</w:t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1400"/>
        <w:gridCol w:w="10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3" w:name="JR_PAGE_ANCHOR_0_4"/>
            <w:r/>
            <w:bookmarkEnd w:id="3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378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1378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4.2.1 Присвоение баллов з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аявкам по критерию 2.1 «Цена договора, предложенная участником» осуществляется в следующем порядке:</w:t>
                    <w:br/>
                    <w:t xml:space="preserve">первоначально проводится выбор шкалы оценок и присвоение плановой сумме базовой оценки: если хотя бы у одного участника Цена договора, предложенная участник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ом (далее – ОФЕРТА) меньше начальной (максимальной) цены (далее – ГКПЗ), то шкала оценок от 1 до 5, плановая сумма ГКПЗ - 2 балла (сценарий 1), если все значения не меньше ГКПЗ, то шкала оценок от 1 до 3, плановая сумма ГКПЗ - 3 балла, т.е. максимум (сцена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рий 2):</w:t>
                    <w:br/>
                    <w:br/>
                    <w:t xml:space="preserve">ЕСЛИ(МИН(ДИАПАЗОН)&lt;ГКПЗ;</w:t>
                    <w:br/>
                    <w:br/>
                    <w:t xml:space="preserve">Сценарий 1: шкала оценок от 1 до 5. Проводится сопоставление ОФЕРТЫ участника и ГКПЗ:</w:t>
                    <w:br/>
                    <w:br/>
                    <w:t xml:space="preserve">ЕСЛИ(ОФЕРТА/ГКПЗ)&gt;1;</w:t>
                    <w:br/>
                    <w:br/>
                    <w:t xml:space="preserve">Если оферта участника равна ГКПЗ, то такой Участник получает 2 балла. Другие участники оцениваются по одному из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следующих сценариев 1а или 1б:</w:t>
                    <w:br/>
                    <w:t xml:space="preserve">Сценарий 1а: ОФЕРТА участника больше ГКПЗ. Выполняется расчёт оценок в диапазоне от 1 до 2:</w:t>
                    <w:br/>
                    <w:br/>
                    <w:t xml:space="preserve">ЕСЛИ(ОФЕРТА=МАКС(ДИАПАЗОН) то 1;</w:t>
                    <w:br/>
                    <w:br/>
                    <w:t xml:space="preserve">иначе ((МАКС(ДИАПАЗОН)-ОФЕРТА)/(МАКС(ДИАПАЗОН)-ГКПЗ))+1);</w:t>
                    <w:br/>
                    <w:br/>
                    <w:t xml:space="preserve">Сценарий 1б: ОФЕРТА участника меньше ГК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ПЗ. Проверяется, есть ли предложения участника меньше ГКПЗ на 30%:</w:t>
                    <w:br/>
                    <w:br/>
                    <w:t xml:space="preserve">ЕСЛИ((МИН(ДИАПАЗОН)/ГКПЗ)&lt;0,7;</w:t>
                    <w:br/>
                    <w:br/>
                    <w:t xml:space="preserve">если минимальное предложение меньше ГКПЗ на 30%, то максимальному баллу 5 соответствует минимальное предложение:</w:t>
                    <w:br/>
                    <w:br/>
                    <w:t xml:space="preserve">ЕСЛИ(ОФЕРТА=МИН(ДИАПАЗОН) то 5;</w:t>
                    <w:br/>
                    <w:br/>
                    <w:t xml:space="preserve">иначе ((Г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КПЗ-ОФЕРТА)*3/(ГКПЗ-МИН(ДИАПАЗОН))+2));</w:t>
                    <w:br/>
                    <w:br/>
                    <w:t xml:space="preserve">если минимальное предложение не меньше ГКПЗ на 30%, то максимальному баллу 5 соответствует сумма ГКПЗ минус 30%. Выполняется расчёт оценки в диапазоне от 2 до 5:</w:t>
                    <w:br/>
                    <w:br/>
                    <w:t xml:space="preserve">((ГКПЗ-ОФЕРТА)/(ГКПЗ)*10)+2));</w:t>
                    <w:br/>
                    <w:br/>
                    <w:t xml:space="preserve">Сценарий 2: шкала оц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енок от 1 до 3. 3 балла получает Участник с ценой ОФЕРТЫ равной плановой сумме ГКПЗ. Расчёт оценок остальных участников выполняется в диапазоне от 1 до 3:</w:t>
                    <w:br/>
                    <w:br/>
                    <w:t xml:space="preserve">ЕСЛИ(ОФЕРТА=МАКС(ДИАПАЗОН) то 1;</w:t>
                    <w:br/>
                    <w:br/>
                    <w:t xml:space="preserve">иначе ((МАКС(ДИАПАЗОН)-ОФЕРТА)*2/(МАКС(ДИАПАЗОН)-ГКПЗ))+1);</w:t>
                    <w:br/>
                    <w:br/>
                    <w:t xml:space="preserve">В слу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чае, если закупочная процедура проводится в соответствии с Федеральным законом от 18.07.2011 223-ФЗ, то оценка и сопоставление предложений участников будут проводиться с учетом положений Постановления Правительства Российской Федерации от 23.12.2024 № 1875</w:t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1400"/>
        <w:gridCol w:w="10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4" w:name="JR_PAGE_ANCHOR_0_5"/>
            <w:r/>
            <w:bookmarkEnd w:id="4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59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4.3.  Присвоение баллов заявкам по критерию 3 Надежность Участника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3 Надежность Участника;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3;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3.</w:t>
                  </w:r>
                  <w:r/>
                </w:p>
              </w:tc>
            </w:tr>
            <w:tr>
              <w:tblPrEx/>
              <w:trPr>
                <w:trHeight w:val="330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4.3.1.  Присвоение баллов заявкам по критерию 3.1 Добровольные системы подтверждения квалификации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3.1 Добровольные системы подтверждения квалификации;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3.1;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3.1.2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3.1.</w:t>
                  </w:r>
                  <w:r/>
                </w:p>
              </w:tc>
            </w:tr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4.3.2.  Присвоение баллов заявкам по критерию 3.2 Опыт выполнения работ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3.2 Опыт выполнения работ;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3.2;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3.2.1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3.2.</w:t>
                  </w:r>
                  <w:r/>
                </w:p>
              </w:tc>
            </w:tr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4.3.3.  Присвоение баллов заявкам по критерию 3.3 Ресурсные возможности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3.3 Ресурсные возможности;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3.3;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,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3.3.2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3.3.</w:t>
                  </w:r>
                  <w:r/>
                </w:p>
              </w:tc>
            </w:tr>
            <w:tr>
              <w:tblPrEx/>
              <w:trPr>
                <w:trHeight w:val="358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4.3.4.  Присвоение баллов заявкам по критерию 3.4 Экономические риски с учётом платёжеспособности и финансовой устойчивости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3.4 Экономические риски с учётом платёжеспособности и финансовой устойчивости;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3.4;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3.4.1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3.4.</w:t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1400"/>
        <w:gridCol w:w="10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5" w:name="JR_PAGE_ANCHOR_0_6"/>
            <w:r/>
            <w:bookmarkEnd w:id="5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302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4.4.  Присвоение баллов заявкам по критерию 4 Оценка технического предложения осуществляется на основании суммы баллов по подкритериям с учетом их значимости  по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32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сумма баллов (с учетом значимости) по подкритериям критерия 4 Оценка технического предложения;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сумма баллов по соответствующим подкритериям критерия 4;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4.1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− значимость каждого подкритерия критерия 4.</w:t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51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1400"/>
            </w:tblGrid>
            <w:tr>
              <w:tblPrEx/>
              <w:trPr>
                <w:trHeight w:val="5140"/>
              </w:trPr>
              <w:tc>
                <w:tcPr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Align w:val="center"/>
                  <w:textDirection w:val="lrTb"/>
                  <w:noWrap w:val="false"/>
                </w:tcPr>
                <w:p>
                  <w:pPr>
                    <w:ind w:firstLine="0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t xml:space="preserve">4.5.  Итоговое значение заявки (сумма баллов) рассчитывается суммированием баллов, набранных заявкой по каждому из критериев с учетом их значимости, по следующей формуле:</w:t>
                    <w:br/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ru-RU"/>
                    </w:rPr>
                    <w:t xml:space="preserve">И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ru-RU"/>
                    </w:rPr>
                    <w:t xml:space="preserve">СБ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=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+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en-US"/>
                    </w:rPr>
                    <w:t xml:space="preserve"> * </w:t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br/>
                    <w:br/>
                    <w:t xml:space="preserve">где: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ru-RU"/>
                    </w:rPr>
                    <w:t xml:space="preserve">И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ru-RU"/>
                    </w:rPr>
                    <w:t xml:space="preserve">СБ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– итоговая сумма баллов Конкурсной заявки;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 балл по критерию Деловая репутация Участника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- значимость критерия Деловая репутация Участника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 балл по критерию Коммерческое предложение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2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- значимость критерия Коммерческое предложение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- сумма баллов по критерию Надежность Участника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3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- значимость критерия Надежность Участника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K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–  балл по критерию Оценка технического предложения</w:t>
                    <w:br/>
                  </w:r>
                  <w:r>
                    <w:rPr>
                      <w:rFonts w:ascii="Times New Roman" w:hAnsi="Times New Roman" w:eastAsia="Times New Roman" w:cs="Times New Roman"/>
                      <w:b/>
                      <w:i/>
                      <w:color w:val="000000"/>
                      <w:sz w:val="28"/>
                      <w:lang w:val="en-US"/>
                    </w:rPr>
                    <w:t xml:space="preserve">B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0"/>
                      <w:lang w:val="en-US"/>
                    </w:rPr>
                    <w:t xml:space="preserve">4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lang w:val="ru-RU"/>
                    </w:rPr>
                    <w:t xml:space="preserve"> - значимость критерия Оценка технического предложения</w:t>
                    <w:br/>
                  </w:r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680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br/>
              <w:t xml:space="preserve"> 5.  На основании результатов оценки заявок закупочной/конку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рсной комиссией каждой заявке относительно других по мере уменьшения итогового значения присваивается порядковый номер. Первый номер присваивается заявке, набравшей по результатам оценки максимальное количество баллов. Такая заявка считается содержащей луч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шие условия исполнения договора. В случае если в нескольких заявках содержатся одинаковые условия исполнения договора и такие заявки получили одинаковые итоговые значения, меньший порядковый номер присваивается заявке, поступившей (зарегистрированной на эл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ектронной площадке) раньше. </w:t>
              <w:br/>
              <w:br/>
              <w:t xml:space="preserve"> 6.  При проведении процедуры переторжки или переговоров предыдущее ранжирование участников считается предварительным. После проведения переторжки (переговоров) Закупочная комиссия (экспертная группа) повторно оценивает критер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ии, информация по которым изменилась. При этом, после проведения переговоров, повторно может проводиться экспертиза по любому критерию/подкритерию. При проведении переторжки повторно проводится только экспертиза по коммерческому направлению. </w:t>
              <w:br/>
              <w:t xml:space="preserve"> По закупкам,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 участниками которых могут быть только СМСП, коммерческая экспертиза проводиться один раз (оцениваются либо первичные коммерческие предложения, либо поданные на этапе подачи дополнительных ценовых предложений участников дополнительные ценовые предложения).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p>
      <w:pPr>
        <w:sectPr>
          <w:footnotePr/>
          <w:endnotePr/>
          <w:type w:val="nextPage"/>
          <w:pgSz w:w="11900" w:h="16840" w:orient="portrait"/>
          <w:pgMar w:top="200" w:right="200" w:bottom="0" w:left="200" w:header="0" w:footer="0" w:gutter="0"/>
          <w:cols w:num="1" w:sep="0" w:space="1701" w:equalWidth="1"/>
          <w:docGrid w:linePitch="360"/>
        </w:sectPr>
      </w:pPr>
      <w:r/>
      <w:r/>
    </w:p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2280"/>
        <w:gridCol w:w="3300"/>
        <w:gridCol w:w="20"/>
        <w:gridCol w:w="32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bookmarkStart w:id="0" w:name="JR_PAGE_ANCHOR_0_1"/>
            <w:r/>
            <w:bookmarkEnd w:id="0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ru-RU"/>
              </w:rPr>
              <w:t xml:space="preserve">Приложение 1 к руководству</w:t>
              <w:br/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ШКАЛА ПРИСВОЕНИЯ БАЛЛОВ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Финансово-экономическая  экспертиза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 (Отборочная стадия проводится в соответствии с Методикой проведения экспертизы финансово-экономической устойчивости участников закупочных процедур)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6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" w:name="JR_PAGE_ANCHOR_0_1"/>
                  <w:r/>
                  <w:bookmarkEnd w:id="1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2" w:name="JR_PAGE_ANCHOR_0_1"/>
                  <w:r/>
                  <w:bookmarkEnd w:id="2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3" w:name="JR_PAGE_ANCHOR_0_1"/>
                  <w:r/>
                  <w:bookmarkEnd w:id="3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9800"/>
        <w:gridCol w:w="63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4" w:name="JR_PAGE_ANCHOR_0_2"/>
            <w:r/>
            <w:bookmarkEnd w:id="4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2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164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4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Экономические риски с учётом платёжеспособности и финансовой устойчивости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Участник не соответствует требованиям Закупочной документации</w:t>
                          <w:br/>
                          <w:t xml:space="preserve">От 1 до 5 баллов  - Баллы выставляются в соответствии с Методикой проведения экспертизы финансово-экономической устойчивости участников закупочных процедур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22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4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4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4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5580"/>
        <w:gridCol w:w="20"/>
        <w:gridCol w:w="320"/>
      </w:tblGrid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5" w:name="JR_PAGE_ANCHOR_0_3"/>
            <w:r/>
            <w:bookmarkEnd w:id="5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Коммерческая экспертиза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6" w:name="JR_PAGE_ANCHOR_0_3"/>
                  <w:r/>
                  <w:bookmarkEnd w:id="6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7" w:name="JR_PAGE_ANCHOR_0_3"/>
                  <w:r/>
                  <w:bookmarkEnd w:id="7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8" w:name="JR_PAGE_ANCHOR_0_3"/>
                  <w:r/>
                  <w:bookmarkEnd w:id="8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0"/>
        <w:gridCol w:w="1800"/>
        <w:gridCol w:w="7800"/>
        <w:gridCol w:w="1680"/>
        <w:gridCol w:w="20"/>
        <w:gridCol w:w="1580"/>
        <w:gridCol w:w="20"/>
        <w:gridCol w:w="1600"/>
        <w:gridCol w:w="1340"/>
        <w:gridCol w:w="40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9" w:name="JR_PAGE_ANCHOR_0_4"/>
            <w:r/>
            <w:bookmarkEnd w:id="9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Сумма ГКПЗ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2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№ п/п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Наименование участника процедуры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ru-RU"/>
              </w:rPr>
              <w:t xml:space="preserve">Цена договора, предложенная участником, руб. без НДС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en-US"/>
              </w:rPr>
              <w:t xml:space="preserve">1</w:t>
            </w:r>
            <w:r/>
          </w:p>
        </w:tc>
        <w:tc>
          <w:tcPr>
            <w:gridSpan w:val="3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en-US"/>
              </w:rPr>
              <w:t xml:space="preserve">2</w:t>
            </w:r>
            <w:r/>
          </w:p>
        </w:tc>
        <w:tc>
          <w:tcPr>
            <w:gridSpan w:val="3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en-US"/>
              </w:rPr>
              <w:t xml:space="preserve">3</w:t>
            </w:r>
            <w:r/>
          </w:p>
        </w:tc>
        <w:tc>
          <w:tcPr>
            <w:gridSpan w:val="3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ffff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8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8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8400"/>
              <w:gridCol w:w="740"/>
              <w:gridCol w:w="740"/>
              <w:gridCol w:w="740"/>
              <w:gridCol w:w="760"/>
              <w:gridCol w:w="760"/>
              <w:gridCol w:w="740"/>
              <w:gridCol w:w="740"/>
              <w:gridCol w:w="740"/>
              <w:gridCol w:w="740"/>
              <w:gridCol w:w="740"/>
            </w:tblGrid>
            <w:tr>
              <w:tblPrEx/>
              <w:trPr>
                <w:trHeight w:val="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(максимальная оценка по позиции –  5 баллов)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Критерии оценки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10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№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2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3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4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5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6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7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8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9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0"/>
                  </w:tblGrid>
                  <w:tr>
                    <w:tblPrEx/>
                    <w:trPr>
                      <w:trHeight w:val="4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10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Цена договора, предложенная участником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10" w:name="JR_PAGE_ANCHOR_0_4"/>
                  <w:r/>
                  <w:bookmarkEnd w:id="10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1" w:name="JR_PAGE_ANCHOR_0_4"/>
                  <w:r/>
                  <w:bookmarkEnd w:id="11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2" w:name="JR_PAGE_ANCHOR_0_4"/>
                  <w:r/>
                  <w:bookmarkEnd w:id="12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3" w:name="JR_PAGE_ANCHOR_0_4"/>
                  <w:r/>
                  <w:bookmarkEnd w:id="13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4" w:name="JR_PAGE_ANCHOR_0_4"/>
                  <w:r/>
                  <w:bookmarkEnd w:id="14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5" w:name="JR_PAGE_ANCHOR_0_4"/>
                  <w:r/>
                  <w:bookmarkEnd w:id="15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6" w:name="JR_PAGE_ANCHOR_0_4"/>
                  <w:r/>
                  <w:bookmarkEnd w:id="16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7" w:name="JR_PAGE_ANCHOR_0_4"/>
                  <w:r/>
                  <w:bookmarkEnd w:id="17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8" w:name="JR_PAGE_ANCHOR_0_4"/>
                  <w:r/>
                  <w:bookmarkEnd w:id="18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19" w:name="JR_PAGE_ANCHOR_0_4"/>
                  <w:r/>
                  <w:bookmarkEnd w:id="19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5580"/>
        <w:gridCol w:w="20"/>
        <w:gridCol w:w="320"/>
      </w:tblGrid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20" w:name="JR_PAGE_ANCHOR_0_5"/>
            <w:r/>
            <w:bookmarkEnd w:id="20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Экономическая безопасность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21" w:name="JR_PAGE_ANCHOR_0_5"/>
                  <w:r/>
                  <w:bookmarkEnd w:id="21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22" w:name="JR_PAGE_ANCHOR_0_5"/>
                  <w:r/>
                  <w:bookmarkEnd w:id="22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23" w:name="JR_PAGE_ANCHOR_0_5"/>
                  <w:r/>
                  <w:bookmarkEnd w:id="23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9800"/>
        <w:gridCol w:w="63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24" w:name="JR_PAGE_ANCHOR_0_6"/>
            <w:r/>
            <w:bookmarkEnd w:id="24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14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4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Деловая репутация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Неприемлемая деловая репутация</w:t>
                          <w:br/>
                          <w:t xml:space="preserve">От 1 до 5 баллов  - Баллы выставляются в соответствии с Методикой оценки деловой репутации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22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22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22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5580"/>
        <w:gridCol w:w="20"/>
        <w:gridCol w:w="320"/>
      </w:tblGrid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25" w:name="JR_PAGE_ANCHOR_0_7"/>
            <w:r/>
            <w:bookmarkEnd w:id="25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Техническая экспертиза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26" w:name="JR_PAGE_ANCHOR_0_7"/>
                  <w:r/>
                  <w:bookmarkEnd w:id="26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27" w:name="JR_PAGE_ANCHOR_0_7"/>
                  <w:r/>
                  <w:bookmarkEnd w:id="27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28" w:name="JR_PAGE_ANCHOR_0_7"/>
                  <w:r/>
                  <w:bookmarkEnd w:id="28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9800"/>
        <w:gridCol w:w="63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29" w:name="JR_PAGE_ANCHOR_0_8"/>
            <w:r/>
            <w:bookmarkEnd w:id="29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6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446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446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Гарантийные обязательства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386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Участник в ТКП не указывает продолжительность одного или обоих видов гарантии или не указывает одну или обе даты начала истечения гарантии (если требовалась двойная гарантия) или указывает продолжительность м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еньше, чем требовалось по ТЗ</w:t>
                          <w:br/>
                          <w:t xml:space="preserve">1 балл - Участник в ТКП указывает свое согласие с требованиями ТЗ или в явном виде указывает гарантийные сроки и моменты начала их исчисления полностью соответствующие требованиям ТЗ</w:t>
                          <w:br/>
                          <w:t xml:space="preserve">От 2 до 5 баллов  - От 2 до 5 баллов рассчитывается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 по формуле: 2+((Туг1+Туг2) - (Ттзг1+Ттзг2))/6, где Туг1 - продолжительность гарантии № 1 предложенная Участником (мес); Туг2 - продолжительность гарантии № 2 предложенная Участником (мес); Ттзг1 - продолжительность гарантии № 1 требовавшаяся по ТЗ (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мес); Ттзг2 - продолжительность гарантии № 2 требовавшаяся по ТЗ (мес). Если в ТЗ требовалась только одна гарантия (работы/МТР с даты поставки/МТР с начала эксплуатации и т.д.), то Туг2=0 и Ттзг2=0. Примечание: округление не менее двух знаков после запятой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32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32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32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5580"/>
        <w:gridCol w:w="20"/>
        <w:gridCol w:w="320"/>
      </w:tblGrid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30" w:name="JR_PAGE_ANCHOR_0_9"/>
            <w:r/>
            <w:bookmarkEnd w:id="30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Юридическая экспертиза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31" w:name="JR_PAGE_ANCHOR_0_9"/>
                  <w:r/>
                  <w:bookmarkEnd w:id="31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32" w:name="JR_PAGE_ANCHOR_0_9"/>
                  <w:r/>
                  <w:bookmarkEnd w:id="32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33" w:name="JR_PAGE_ANCHOR_0_9"/>
                  <w:r/>
                  <w:bookmarkEnd w:id="33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9800"/>
        <w:gridCol w:w="63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34" w:name="JR_PAGE_ANCHOR_0_10"/>
            <w:r/>
            <w:bookmarkEnd w:id="34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20"/>
        <w:gridCol w:w="3600"/>
        <w:gridCol w:w="2000"/>
        <w:gridCol w:w="4900"/>
        <w:gridCol w:w="5580"/>
        <w:gridCol w:w="20"/>
        <w:gridCol w:w="320"/>
      </w:tblGrid>
      <w:tr>
        <w:tblPrEx/>
        <w:trPr>
          <w:trHeight w:val="10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35" w:name="JR_PAGE_ANCHOR_0_11"/>
            <w:r/>
            <w:bookmarkEnd w:id="35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ИНДИВИДУАЛЬНОЕ ЗАКЛЮЧЕНИЕ ПО ЭКСПЕРТНОЙ ОЦЕНКЕ ЗАЯВОК НА УЧАСТИЕ В ЗАКУПКЕ 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После этапа: _________________________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ДЗО: 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Филиал: _______________________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Эксперт: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Способ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закупки: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Предмет договора: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Лот №: 540.26.00484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Карта закупок: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Вид экспертизы: </w:t>
            </w:r>
            <w:r/>
          </w:p>
        </w:tc>
        <w:tc>
          <w:tcPr>
            <w:gridSpan w:val="2"/>
            <w:shd w:val="clear" w:color="auto" w:fill="87ffa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 Квалификационная экспертиза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6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1. Отборочная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62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5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8000"/>
              <w:gridCol w:w="2100"/>
              <w:gridCol w:w="2100"/>
              <w:gridCol w:w="2100"/>
            </w:tblGrid>
            <w:tr>
              <w:tblPrEx/>
              <w:trPr>
                <w:trHeight w:val="14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0"/>
                            <w:lang w:val="ru-RU"/>
                          </w:rPr>
                          <w:t xml:space="preserve">№ п/п критерия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отборочного критерия 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>
                    <w:tblPrEx/>
                    <w:trPr>
                      <w:trHeight w:val="14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Экспертные оценки: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или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«Не соответствует»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требованиям закупочной документации 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ff0000"/>
                            <w:sz w:val="24"/>
                            <w:lang w:val="ru-RU"/>
                          </w:rPr>
                          <w:t xml:space="preserve">(в случае несоответствия заполняется заключение ниже)</w:t>
                        </w: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 и рекомендации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2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en-US"/>
                          </w:rPr>
                          <w:t xml:space="preserve">1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82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Соответствие Участника и его Заявки (Предложения) требованиям закупочной документации (требования описаны в закупочной (конкурсной) документации)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>
                    <w:br w:type="page" w:clear="all"/>
                  </w:r>
                  <w:r/>
                </w:p>
                <w:p>
                  <w:r/>
                  <w:bookmarkStart w:id="36" w:name="JR_PAGE_ANCHOR_0_11"/>
                  <w:r/>
                  <w:bookmarkEnd w:id="36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37" w:name="JR_PAGE_ANCHOR_0_11"/>
                  <w:r/>
                  <w:bookmarkEnd w:id="37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p>
                  <w:r/>
                  <w:bookmarkStart w:id="38" w:name="JR_PAGE_ANCHOR_0_11"/>
                  <w:r/>
                  <w:bookmarkEnd w:id="38"/>
                  <w:r/>
                  <w:r/>
                </w:p>
                <w:p>
                  <w:r>
                    <w:br w:type="page" w:clear="all"/>
                  </w:r>
                  <w:r/>
                </w:p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600" w:hRule="exact"/>
              </w:trPr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Рекомендации эксперта по отклонению или допуску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0f8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ffffff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9800"/>
        <w:gridCol w:w="63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39" w:name="JR_PAGE_ANCHOR_0_12"/>
            <w:r/>
            <w:bookmarkEnd w:id="39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3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ru-RU"/>
              </w:rPr>
              <w:t xml:space="preserve">Таблица № 2. Оценочная стадия</w:t>
            </w:r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1084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gridSpan w:val="2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224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4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материальных ресурсов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4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 используется для оценки</w:t>
                          <w:br/>
                          <w:t xml:space="preserve">1 балл - В случае не предоставления участником подтверждения наличия 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МТР, требовавшихся по ТЗ ИЛИ в случае отсутствия данного требования в ТЗ</w:t>
                          <w:br/>
                          <w:t xml:space="preserve">От 2 до 4 баллов  - Данный диапазон не используется для оценки</w:t>
                          <w:br/>
                          <w:t xml:space="preserve">5 баллов - В случае предоставления участником подтверждения наличия МТР в количестве и номенклатуре, требовавшемся в ТЗ.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224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24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и квалификация персонала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4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 используется для оценки</w:t>
                          <w:br/>
                          <w:t xml:space="preserve">1 балл - В случае не предоставления участником подтвер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ждения наличия персонала, требовавшегося в ТЗ ИЛИ в случае отсутствия данного требования в ТЗ</w:t>
                          <w:br/>
                          <w:t xml:space="preserve">От 2 до 4 баллов  - Данный диапазон не используется для оценки</w:t>
                          <w:br/>
                          <w:t xml:space="preserve">5 баллов - В случае предоставления участником подтверждения наличия персонала, требовавшегося в ТЗ.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04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196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96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Опыт выполнения работ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36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 использ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уется для оценки</w:t>
                          <w:br/>
                          <w:t xml:space="preserve">1 балл - в случае не предоставления участником сведений, либо подтвержденный опыт ниже минимальных требований ТЗ</w:t>
                          <w:br/>
                          <w:t xml:space="preserve">От 2 до 4 баллов  - Данный диапазон не используется для оценки</w:t>
                          <w:br/>
                          <w:t xml:space="preserve">5 баллов - в случае полного подтверждения требований ТЗ к опыту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7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7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76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28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8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Наличие сертифицированных систем менеджмента и/или иных добровольных сертифицированных подтверждений компетенции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 используется для оценки</w:t>
                          <w:br/>
                          <w:t xml:space="preserve">1 балл - В случае не предоставления участником подтверждения наличия сертифицированных систем менеджмента и/или иных добровольных сертифицированных подтверждений компетенции ИЛИ в случае отсутств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ия данного требования в ТЗ</w:t>
                          <w:br/>
                          <w:t xml:space="preserve">От 2 до 5 баллов  - От 2 до 5 баллов рассчитывается по формуле: 1+Су (но не более 5 баллов) где, Су - кол-во сертифицированных систем менеджмента и/или иных добровольных сертифицированных подтверждений компетенции, требуемых в ТЗ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tbl>
      <w:tblPr>
        <w:tblLayout w:type="fixed"/>
        <w:tblLook w:val="04A0" w:firstRow="1" w:lastRow="0" w:firstColumn="1" w:lastColumn="0" w:noHBand="0" w:noVBand="1"/>
      </w:tblPr>
      <w:tblGrid>
        <w:gridCol w:w="1"/>
        <w:gridCol w:w="16100"/>
        <w:gridCol w:w="340"/>
      </w:tblGrid>
      <w:tr>
        <w:tblPrEx/>
        <w:trPr>
          <w:trHeight w:val="0" w:hRule="exact"/>
        </w:trPr>
        <w:tc>
          <w:tcPr>
            <w:textDirection w:val="lrTb"/>
            <w:noWrap w:val="false"/>
          </w:tcPr>
          <w:p>
            <w:pPr>
              <w:pStyle w:val="617"/>
              <w:pageBreakBefore/>
            </w:pPr>
            <w:r/>
            <w:bookmarkStart w:id="40" w:name="JR_PAGE_ANCHOR_0_13"/>
            <w:r/>
            <w:bookmarkEnd w:id="40"/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  <w:tr>
        <w:tblPrEx/>
        <w:trPr>
          <w:trHeight w:val="4400" w:hRule="exact"/>
        </w:trPr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tbl>
            <w:tblPr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9200"/>
              <w:gridCol w:w="1700"/>
              <w:gridCol w:w="1700"/>
              <w:gridCol w:w="1700"/>
            </w:tblGrid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оценочных критериев/подкритериев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restart"/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16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Шкала выставления баллов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gridSpan w:val="3"/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Предложение Участников (описание заполняется экспертом)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800" w:hRule="exact"/>
              </w:trPr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vMerge w:val="continue"/>
                  <w:textDirection w:val="lrTb"/>
                  <w:noWrap w:val="false"/>
                </w:tcPr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bfe1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800" w:hRule="exact"/>
                    </w:trPr>
                    <w:tc>
                      <w:tcPr>
                        <w:shd w:val="clear" w:color="auto" w:fill="ffffcc"/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000000"/>
                            <w:sz w:val="24"/>
                            <w:lang w:val="ru-RU"/>
                          </w:rPr>
                          <w:t xml:space="preserve">Наименование Участника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  <w:tr>
              <w:tblPrEx/>
              <w:trPr>
                <w:trHeight w:val="2800" w:hRule="exact"/>
              </w:trPr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>
                    <w:tblPrEx/>
                    <w:trPr>
                      <w:trHeight w:val="28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left="100"/>
                          <w:jc w:val="center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Аккредитация в Группе «Интер РАО» в качестве поставщика, закупаемых в рамках данной процедуры товаров, работ, услуг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200"/>
                  </w:tblGrid>
                  <w:tr>
                    <w:tblPrEx/>
                    <w:trPr>
                      <w:trHeight w:val="22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pPr>
                          <w:ind w:left="100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0 баллов - Не исп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ользуется для оценки</w:t>
                          <w:br/>
                          <w:t xml:space="preserve">1 балл - в случае не предоставления участником действующих свидетельства об аккредитации в качестве поставщика для нужд Группы «Интер РАО», по видам деятельности, перечисленным в ТЗ ИЛИ в случае отсутствия данного требования в ТЗ</w:t>
                          <w:br/>
                          <w:t xml:space="preserve">2 бал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ла - Не используется для оценки</w:t>
                          <w:br/>
                          <w:t xml:space="preserve">От 3 до 5 баллов  - рассчитывается по формуле: 2 + Ау (но не более 5 баллов) где, Ау - кол-во представленных участником действующих свидетельств об аккредитации в Группе «Интер РАО» по видам деятельности, перечисленным в ТЗ </w:t>
                        </w:r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ind w:firstLine="10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4"/>
                            <w:lang w:val="ru-RU"/>
                          </w:rPr>
                          <w:t xml:space="preserve">Итоговый балл по данному подкритерию:</w:t>
                        </w:r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  <w:tc>
                <w:tcPr>
                  <w:shd w:val="clear" w:color="auto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extDirection w:val="lrTb"/>
                  <w:noWrap w:val="false"/>
                </w:tcPr>
                <w:tbl>
                  <w:tblPr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0"/>
                  </w:tblGrid>
                  <w:tr>
                    <w:tblPrEx/>
                    <w:trPr>
                      <w:trHeight w:val="600" w:hRule="exact"/>
                    </w:trPr>
                    <w:tc>
                      <w:tcPr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  <w:tr>
                    <w:tblPrEx/>
                    <w:trPr>
                      <w:trHeight w:val="1600" w:hRule="exact"/>
                    </w:trPr>
                    <w:tc>
                      <w:tcPr>
                        <w:textDirection w:val="lrTb"/>
                        <w:noWrap w:val="false"/>
                      </w:tcPr>
                      <w:p>
                        <w:pPr>
                          <w:pStyle w:val="617"/>
                        </w:pPr>
                        <w:r/>
                        <w:r/>
                      </w:p>
                    </w:tc>
                  </w:tr>
                  <w:tr>
                    <w:tblPrEx/>
                    <w:trPr>
                      <w:trHeight w:val="600" w:hRule="exact"/>
                    </w:trPr>
                    <w:tc>
                      <w:tcPr>
                        <w:shd w:val="clear" w:color="auto" w:fill="87ffa5"/>
                        <w:tcBorders>
                          <w:top w:val="single" w:color="000000" w:sz="4" w:space="0"/>
                        </w:tcBorders>
                        <w:tcMar>
                          <w:left w:w="0" w:type="dxa"/>
                          <w:top w:w="0" w:type="dxa"/>
                          <w:right w:w="0" w:type="dxa"/>
                          <w:bottom w:w="0" w:type="dxa"/>
                        </w:tcMar>
                        <w:vAlign w:val="top"/>
                        <w:textDirection w:val="lrTb"/>
                        <w:noWrap w:val="false"/>
                      </w:tcPr>
                      <w:p>
                        <w:r/>
                        <w:r/>
                      </w:p>
                    </w:tc>
                  </w:tr>
                </w:tbl>
                <w:p>
                  <w:pPr>
                    <w:pStyle w:val="617"/>
                  </w:pPr>
                  <w:r/>
                  <w:r/>
                </w:p>
              </w:tc>
            </w:tr>
          </w:tbl>
          <w:p>
            <w:pPr>
              <w:pStyle w:val="617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pStyle w:val="617"/>
            </w:pPr>
            <w:r/>
            <w:r/>
          </w:p>
        </w:tc>
      </w:tr>
    </w:tbl>
    <w:sectPr>
      <w:footnotePr/>
      <w:endnotePr/>
      <w:type w:val="nextPage"/>
      <w:pgSz w:w="16840" w:h="11900" w:orient="landscape"/>
      <w:pgMar w:top="200" w:right="200" w:bottom="0" w:left="200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ansSerif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80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617">
    <w:name w:val="EMPTY_CELL_STYLE"/>
    <w:qFormat/>
    <w:rPr>
      <w:rFonts w:ascii="SansSerif" w:hAnsi="SansSerif" w:eastAsia="SansSerif" w:cs="SansSerif"/>
      <w:color w:val="000000"/>
      <w:sz w:val="1"/>
    </w:rPr>
  </w:style>
  <w:style w:type="paragraph" w:styleId="618">
    <w:name w:val="Table_TH"/>
    <w:qFormat/>
    <w:rPr>
      <w:rFonts w:ascii="SansSerif" w:hAnsi="SansSerif" w:eastAsia="SansSerif" w:cs="SansSerif"/>
      <w:color w:val="000000"/>
      <w:sz w:val="20"/>
    </w:rPr>
  </w:style>
  <w:style w:type="paragraph" w:styleId="619">
    <w:name w:val="Table_CH"/>
    <w:qFormat/>
    <w:rPr>
      <w:rFonts w:ascii="SansSerif" w:hAnsi="SansSerif" w:eastAsia="SansSerif" w:cs="SansSerif"/>
      <w:color w:val="000000"/>
      <w:sz w:val="20"/>
    </w:rPr>
  </w:style>
  <w:style w:type="paragraph" w:styleId="620">
    <w:name w:val="Table_TD"/>
    <w:qFormat/>
    <w:rPr>
      <w:rFonts w:ascii="SansSerif" w:hAnsi="SansSerif" w:eastAsia="SansSerif" w:cs="SansSerif"/>
      <w:color w:val="000000"/>
      <w:sz w:val="20"/>
    </w:rPr>
  </w:style>
  <w:style w:type="character" w:styleId="17680" w:default="1">
    <w:name w:val="Default Paragraph Font"/>
    <w:uiPriority w:val="1"/>
    <w:semiHidden/>
    <w:unhideWhenUsed/>
  </w:style>
  <w:style w:type="numbering" w:styleId="17681" w:default="1">
    <w:name w:val="No List"/>
    <w:uiPriority w:val="99"/>
    <w:semiHidden/>
    <w:unhideWhenUsed/>
  </w:style>
  <w:style w:type="paragraph" w:styleId="17682" w:default="1">
    <w:name w:val="Normal"/>
    <w:qFormat/>
  </w:style>
  <w:style w:type="table" w:styleId="1768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lazarevich_sv</cp:lastModifiedBy>
  <cp:revision>1</cp:revision>
  <dcterms:modified xsi:type="dcterms:W3CDTF">2026-09-28T13:14:45Z</dcterms:modified>
</cp:coreProperties>
</file>