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>
        <w:t xml:space="preserve">Приложение № 6 </w:t>
      </w:r>
      <w:r/>
    </w:p>
    <w:p>
      <w:pPr>
        <w:jc w:val="center"/>
        <w:spacing w:line="283" w:lineRule="exact"/>
        <w:rPr>
          <w:rFonts w:eastAsia="Arial"/>
        </w:rPr>
      </w:pPr>
      <w:r>
        <w:rPr>
          <w:rFonts w:eastAsia="PT Serif"/>
          <w:b/>
          <w:bCs/>
        </w:rPr>
        <w:t xml:space="preserve">ПЕРЕЧЕНЬ </w:t>
      </w:r>
      <w:r>
        <w:rPr>
          <w:rFonts w:eastAsia="Arial"/>
        </w:rPr>
      </w:r>
    </w:p>
    <w:p>
      <w:pPr>
        <w:jc w:val="center"/>
        <w:spacing w:line="283" w:lineRule="exact"/>
        <w:rPr>
          <w:rFonts w:eastAsia="Arial"/>
          <w:b/>
          <w:bCs/>
        </w:rPr>
      </w:pPr>
      <w:r>
        <w:rPr>
          <w:rFonts w:eastAsia="PT Serif"/>
          <w:b/>
          <w:bCs/>
        </w:rPr>
        <w:t xml:space="preserve">мероприятий по предотвращению случаев повреждения здоровья работников при производстве работ (оказании услуг) на территории филиала «Печорская ГРЭС» АО «Интер РАО – </w:t>
      </w:r>
      <w:r>
        <w:rPr>
          <w:rFonts w:eastAsia="PT Serif"/>
          <w:b/>
          <w:bCs/>
        </w:rPr>
        <w:t xml:space="preserve">Электрогенерация</w:t>
      </w:r>
      <w:r>
        <w:rPr>
          <w:rFonts w:eastAsia="PT Serif"/>
          <w:b/>
          <w:bCs/>
        </w:rPr>
        <w:t xml:space="preserve">» (на основании Приказа Минтруда и Соцзащиты РФ №656н от 22.09.2021г.) </w:t>
      </w:r>
      <w:r>
        <w:rPr>
          <w:rFonts w:eastAsia="Arial"/>
          <w:b/>
          <w:bCs/>
        </w:rPr>
      </w:r>
    </w:p>
    <w:p>
      <w:pPr>
        <w:jc w:val="center"/>
        <w:spacing w:line="283" w:lineRule="exact"/>
        <w:rPr>
          <w:rFonts w:eastAsia="Arial"/>
          <w:b/>
          <w:bCs/>
        </w:rPr>
      </w:pPr>
      <w:r>
        <w:rPr>
          <w:rFonts w:eastAsia="Arial"/>
          <w:b/>
          <w:bCs/>
        </w:rPr>
      </w:r>
      <w:r>
        <w:rPr>
          <w:rFonts w:eastAsia="Arial"/>
          <w:b/>
          <w:bCs/>
        </w:rPr>
      </w:r>
    </w:p>
    <w:tbl>
      <w:tblPr>
        <w:tblStyle w:val="836"/>
        <w:tblW w:w="100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6097"/>
        <w:gridCol w:w="3261"/>
      </w:tblGrid>
      <w:tr>
        <w:tblPrEx/>
        <w:trPr/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  <w:b/>
                <w:bCs/>
              </w:rPr>
            </w:pPr>
            <w:r>
              <w:rPr>
                <w:rFonts w:eastAsia="PT Serif"/>
                <w:b/>
                <w:bCs/>
              </w:rPr>
              <w:t xml:space="preserve">№ п/п</w:t>
            </w:r>
            <w:r>
              <w:rPr>
                <w:rFonts w:eastAsia="Arial"/>
                <w:b/>
                <w:bCs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  <w:b/>
                <w:bCs/>
              </w:rPr>
            </w:pPr>
            <w:r>
              <w:rPr>
                <w:rFonts w:eastAsia="PT Serif"/>
                <w:b/>
                <w:bCs/>
              </w:rPr>
              <w:t xml:space="preserve">Наименование мероприятия</w:t>
            </w:r>
            <w:r>
              <w:rPr>
                <w:rFonts w:eastAsia="Arial"/>
                <w:b/>
                <w:bCs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  <w:b/>
                <w:bCs/>
              </w:rPr>
            </w:pPr>
            <w:r>
              <w:rPr>
                <w:rFonts w:eastAsia="PT Serif"/>
                <w:b/>
                <w:bCs/>
              </w:rPr>
              <w:t xml:space="preserve">Ответственный</w:t>
            </w:r>
            <w:r>
              <w:rPr>
                <w:rFonts w:eastAsia="Arial"/>
                <w:b/>
                <w:bCs/>
              </w:rPr>
            </w:r>
          </w:p>
        </w:tc>
      </w:tr>
      <w:tr>
        <w:tblPrEx/>
        <w:trPr/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1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До начала выполнения работ назначить лиц, отвечающих за безопасную организацию работ в соответствии с требованиями норм и правил по охр</w:t>
            </w:r>
            <w:r>
              <w:rPr>
                <w:rFonts w:eastAsia="PT Serif"/>
              </w:rPr>
              <w:t xml:space="preserve">ане труда.  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spacing w:line="283" w:lineRule="exact"/>
              <w:rPr>
                <w:rFonts w:eastAsia="Arial" w:cstheme="minorHAnsi"/>
              </w:rPr>
            </w:pPr>
            <w:r>
              <w:rPr>
                <w:rFonts w:eastAsia="PT Serif" w:cstheme="minorHAnsi"/>
              </w:rPr>
              <w:t xml:space="preserve">Филиал «Печорская ГРЭС» АО «Интер РАО – </w:t>
            </w:r>
            <w:r>
              <w:rPr>
                <w:rFonts w:eastAsia="PT Serif" w:cstheme="minorHAnsi"/>
              </w:rPr>
              <w:t xml:space="preserve">Электрогенерация</w:t>
            </w:r>
            <w:r>
              <w:rPr>
                <w:rFonts w:eastAsia="PT Serif" w:cstheme="minorHAnsi"/>
              </w:rPr>
              <w:t xml:space="preserve">»; Подря</w:t>
            </w:r>
            <w:r>
              <w:rPr>
                <w:rFonts w:eastAsia="PT Serif" w:cstheme="minorHAnsi"/>
              </w:rPr>
              <w:t xml:space="preserve">д</w:t>
            </w:r>
            <w:r>
              <w:rPr>
                <w:rFonts w:eastAsia="PT Serif" w:cstheme="minorHAnsi"/>
              </w:rPr>
              <w:t xml:space="preserve">ная организация</w:t>
            </w:r>
            <w:r>
              <w:rPr>
                <w:rFonts w:eastAsia="Arial" w:cstheme="minorHAnsi"/>
              </w:rPr>
            </w:r>
          </w:p>
        </w:tc>
      </w:tr>
      <w:tr>
        <w:tblPrEx/>
        <w:trPr/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2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Составить единый перечень вредных и (или) опасных производственных факторов, опасностей, включающий:  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2.1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Перечень факторов, присутствующих на территории филиала «</w:t>
            </w:r>
            <w:r>
              <w:rPr>
                <w:rFonts w:eastAsia="PT Serif"/>
              </w:rPr>
              <w:t xml:space="preserve">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», но не связанных с характером выполняемых работ (оказания услуг).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Филиал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</w:t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2.2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Перечень факторов, возникающих в результате производства работ (оказания услу</w:t>
            </w:r>
            <w:r>
              <w:rPr>
                <w:rFonts w:eastAsia="PT Serif"/>
              </w:rPr>
              <w:t xml:space="preserve">г).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2.3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3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Ознакомить персонал с разработанным (п.2) единым перечнем вредных и (или) опасных производственных факторов, опасностей под подпись.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4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Разработать план мероприятий по эвакуации и спасению работников при возникновении аварийной ситуации и при проведении с</w:t>
            </w:r>
            <w:r>
              <w:rPr>
                <w:rFonts w:eastAsia="PT Serif"/>
              </w:rPr>
              <w:t xml:space="preserve">пасательных работ.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Филиал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</w:t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4.1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Ознакомить работников с планом мероприятий по эвакуации и спасению работников при возникновении аварийной ситуации и при проведении спасательных работ под подпись. 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5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Оформить акт-допуск или выдать наряд-допуск на проведение работ.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Филиал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</w:t>
            </w:r>
            <w:r>
              <w:rPr>
                <w:rFonts w:eastAsia="Arial"/>
              </w:rPr>
            </w:r>
          </w:p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При организации работ по акту – допуску ответственный за оформление и выдачу наряда-допуска (распоряжения) - </w:t>
            </w:r>
            <w:r>
              <w:rPr>
                <w:rFonts w:eastAsia="PT Serif"/>
              </w:rPr>
              <w:t xml:space="preserve">Подрядная организация</w:t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6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В тех случа</w:t>
            </w:r>
            <w:r>
              <w:rPr>
                <w:rFonts w:eastAsia="PT Serif"/>
              </w:rPr>
              <w:t xml:space="preserve">ях, когда несколько видов деятельности осуществляются силами нескольких субподрядных организаций на одном и том же участке (объекте), в </w:t>
            </w:r>
            <w:r>
              <w:rPr>
                <w:rFonts w:eastAsia="PT Serif"/>
              </w:rPr>
              <w:t xml:space="preserve">непосредственной близости друг от друга или, когда участки выполнения работ пересекаются, составить, согласовать и утвер</w:t>
            </w:r>
            <w:r>
              <w:rPr>
                <w:rFonts w:eastAsia="PT Serif"/>
              </w:rPr>
              <w:t xml:space="preserve">дить график совместных и совмещаемых работ. 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При организации работ по наряду-допуску -</w:t>
            </w:r>
            <w:r>
              <w:rPr>
                <w:rFonts w:eastAsia="Arial"/>
              </w:rPr>
              <w:t xml:space="preserve"> </w:t>
            </w:r>
            <w:r>
              <w:rPr>
                <w:rFonts w:eastAsia="PT Serif"/>
              </w:rPr>
              <w:t xml:space="preserve">Филиал «Печорская ГРЭС» АО </w:t>
            </w:r>
            <w:r>
              <w:rPr>
                <w:rFonts w:eastAsia="PT Serif"/>
              </w:rPr>
              <w:t xml:space="preserve">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</w:t>
            </w:r>
            <w:r>
              <w:rPr>
                <w:rFonts w:eastAsia="PT Serif"/>
              </w:rPr>
            </w:r>
          </w:p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При организации работ по акту – допуску - </w:t>
            </w:r>
            <w:r>
              <w:rPr>
                <w:rFonts w:eastAsia="PT Serif"/>
              </w:rPr>
              <w:t xml:space="preserve">Подрядная организация</w:t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7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Проводить мониторинг хода производства работ и изменения </w:t>
            </w:r>
            <w:r>
              <w:rPr>
                <w:rFonts w:eastAsia="PT Serif"/>
              </w:rPr>
              <w:t xml:space="preserve">условий труда в филиале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Филиал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», _____</w:t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8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Организовать допуск к работам, непрерывную связь, координацию и информирование подрядных организаций, производящих работы (оказывающих услуги) на одной неподконтрольной им территории и у которых отсутствуют взаимные договоры, до начала, </w:t>
            </w:r>
            <w:r>
              <w:rPr>
                <w:rFonts w:eastAsia="PT Serif"/>
              </w:rPr>
              <w:t xml:space="preserve">во время</w:t>
            </w:r>
            <w:r>
              <w:rPr>
                <w:rFonts w:eastAsia="PT Serif"/>
              </w:rPr>
              <w:t xml:space="preserve"> и после ок</w:t>
            </w:r>
            <w:r>
              <w:rPr>
                <w:rFonts w:eastAsia="PT Serif"/>
              </w:rPr>
              <w:t xml:space="preserve">ончания работ </w:t>
            </w:r>
            <w:r>
              <w:rPr>
                <w:rFonts w:eastAsia="PT Serif"/>
                <w:i/>
              </w:rPr>
              <w:t xml:space="preserve">(в случаях, где применимо)</w:t>
            </w:r>
            <w:r>
              <w:rPr>
                <w:rFonts w:eastAsia="PT Serif"/>
              </w:rPr>
              <w:t xml:space="preserve">. 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Филиал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</w:t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10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rPr>
                <w:rFonts w:eastAsia="Arial"/>
                <w:iCs/>
              </w:rPr>
            </w:pPr>
            <w:r>
              <w:rPr>
                <w:rFonts w:eastAsia="Arial"/>
                <w:iCs/>
              </w:rPr>
              <w:t xml:space="preserve">Составление и согласование схемы подключения потребителей (работодателей, производящих работы (оказывающих услуги) на территории) к энергоносителям на территории филиала (электроэнергия, вода, пар, сжатый воздух и другие)</w:t>
            </w:r>
            <w:r>
              <w:rPr>
                <w:rFonts w:eastAsia="PT Serif"/>
              </w:rPr>
              <w:t xml:space="preserve">. </w:t>
            </w:r>
            <w:r>
              <w:rPr>
                <w:rFonts w:eastAsia="Arial"/>
                <w:iCs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  <w:strike/>
              </w:rPr>
            </w:pPr>
            <w:r>
              <w:rPr>
                <w:rFonts w:eastAsia="PT Serif"/>
              </w:rPr>
              <w:t xml:space="preserve">Филиал «Печорская ГРЭС» АО «Инте</w:t>
            </w:r>
            <w:r>
              <w:rPr>
                <w:rFonts w:eastAsia="PT Serif"/>
              </w:rPr>
              <w:t xml:space="preserve">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</w:t>
            </w:r>
            <w:r>
              <w:rPr>
                <w:rFonts w:eastAsia="PT Serif"/>
                <w:strike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11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До начала производства работ обеспечить прохождение персоналом, прибывающим на объект, вводного и первичного инструктажей по охране труда, и вводного и первичного противопожарных инструктажей от уполномоченных лиц филиала «Печ</w:t>
            </w:r>
            <w:r>
              <w:rPr>
                <w:rFonts w:eastAsia="PT Serif"/>
              </w:rPr>
              <w:t xml:space="preserve">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». 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Филиал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 – проведение инструктажа;</w:t>
            </w:r>
            <w:r>
              <w:rPr>
                <w:rFonts w:eastAsia="Arial"/>
              </w:rPr>
            </w:r>
          </w:p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Подрядная организация</w:t>
            </w:r>
            <w:r>
              <w:rPr>
                <w:rFonts w:eastAsia="PT Serif"/>
              </w:rPr>
              <w:t xml:space="preserve"> – направление на прохождение инструктажа.</w:t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12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До начала работ разработать и издать (тиражировать) инструкции по ох</w:t>
            </w:r>
            <w:r>
              <w:rPr>
                <w:rFonts w:eastAsia="PT Serif"/>
              </w:rPr>
              <w:t xml:space="preserve">ране труда, учитывающие специфику проведения соответствующих работ (оказываемых услуг) на территории филиала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». </w:t>
            </w:r>
            <w:r>
              <w:rPr>
                <w:rFonts w:eastAsia="PT Serif"/>
              </w:rPr>
            </w:r>
          </w:p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Комплект разработанных инструкций по охране труда должен быть предъявлен в любой момент по тре</w:t>
            </w:r>
            <w:r>
              <w:rPr>
                <w:rFonts w:eastAsia="PT Serif"/>
              </w:rPr>
              <w:t xml:space="preserve">бованию уполномоченных лиц филиала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13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Обеспечить всей требуемой документацией по охране труда (включая ЛНА филиала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») персонал организации, в том числе в электронном виде</w:t>
            </w:r>
            <w:r>
              <w:rPr>
                <w:rFonts w:eastAsia="PT Serif"/>
              </w:rPr>
              <w:t xml:space="preserve">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14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Обеспечить исполнение требований работниками внутренних локальных документов филиала «Печорская ГРЭС» и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 (</w:t>
            </w:r>
            <w:r>
              <w:rPr>
                <w:rFonts w:eastAsia="PT Serif"/>
              </w:rPr>
              <w:t xml:space="preserve">согласно условий</w:t>
            </w:r>
            <w:r>
              <w:rPr>
                <w:rFonts w:eastAsia="PT Serif"/>
              </w:rPr>
              <w:t xml:space="preserve"> договора)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15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Проводить мониторинг (инспекции, аудиты) соблюдения требований охраны труда, промышленной и пожарной безопасности в соответствии с требованиями утвержденной Методики </w:t>
            </w:r>
            <w:r>
              <w:rPr>
                <w:rFonts w:eastAsia="Calibri"/>
              </w:rPr>
              <w:t xml:space="preserve">«Требования по проведению внутреннего контроля и анализа системы управления охраной труда,</w:t>
            </w:r>
            <w:r>
              <w:rPr>
                <w:rFonts w:eastAsia="Calibri"/>
              </w:rPr>
              <w:t xml:space="preserve"> промышленной, пожарной и экологической безопасностью производственной деятельности в ООО «Интер РАО – Управление </w:t>
            </w:r>
            <w:r>
              <w:rPr>
                <w:rFonts w:eastAsia="Calibri"/>
              </w:rPr>
              <w:t xml:space="preserve">электрогенерацией</w:t>
            </w:r>
            <w:r>
              <w:rPr>
                <w:rFonts w:eastAsia="Calibri"/>
              </w:rPr>
              <w:t xml:space="preserve">», АО «Интер РАО – </w:t>
            </w:r>
            <w:r>
              <w:rPr>
                <w:rFonts w:eastAsia="Calibri"/>
              </w:rPr>
              <w:t xml:space="preserve">Электрогенерация</w:t>
            </w:r>
            <w:r>
              <w:rPr>
                <w:rFonts w:eastAsia="Calibri"/>
              </w:rPr>
              <w:t xml:space="preserve">»</w:t>
            </w:r>
            <w:r>
              <w:rPr>
                <w:rFonts w:eastAsia="PT Serif"/>
              </w:rPr>
              <w:t xml:space="preserve">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Филиал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»,</w:t>
            </w:r>
            <w:r>
              <w:t xml:space="preserve"> </w:t>
            </w:r>
            <w:r>
              <w:rPr>
                <w:rFonts w:eastAsia="PT Serif"/>
              </w:rPr>
              <w:t xml:space="preserve">Подрядная организация</w:t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16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Проводить контроль з</w:t>
            </w:r>
            <w:r>
              <w:rPr>
                <w:rFonts w:eastAsia="PT Serif"/>
              </w:rPr>
              <w:t xml:space="preserve">а безопасным производством работ (оказанием услуг), в том числе с помощью приборов, устройств, оборудования и (или) комплекса (систем) приборов, устройств, оборудования, обеспечивающих дистанционную видео-, аудио или иную фиксацию процессов производства ра</w:t>
            </w:r>
            <w:r>
              <w:rPr>
                <w:rFonts w:eastAsia="PT Serif"/>
              </w:rPr>
              <w:t xml:space="preserve">бот на территории.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17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rPr>
                <w:rFonts w:eastAsia="Arial"/>
              </w:rPr>
            </w:pPr>
            <w:r>
              <w:rPr>
                <w:rFonts w:eastAsia="PT Serif"/>
              </w:rPr>
              <w:t xml:space="preserve">Установить на время выполнения работ (оказания услуг) в соответствии с проектной документацией предохранительных, защитных и сигнализирующих устройств (приспособлений), в том числе для производственного оборудования, в целях обеспеч</w:t>
            </w:r>
            <w:r>
              <w:rPr>
                <w:rFonts w:eastAsia="PT Serif"/>
              </w:rPr>
              <w:t xml:space="preserve">ения безопасной эксплуатации и аварийной защиты </w:t>
            </w:r>
            <w:r>
              <w:rPr>
                <w:rFonts w:eastAsia="Arial"/>
              </w:rPr>
              <w:t xml:space="preserve">производственных коммуникаций, производственного оборудования и сооружений.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</w:t>
            </w:r>
            <w:r>
              <w:rPr>
                <w:rFonts w:eastAsia="PT Serif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18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Определить: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vMerge w:val="restart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</w:t>
            </w:r>
            <w:r>
              <w:rPr>
                <w:rFonts w:eastAsia="PT Serif"/>
              </w:rPr>
            </w:r>
          </w:p>
          <w:p>
            <w:pPr>
              <w:rPr>
                <w:rFonts w:eastAsia="PT Serif"/>
              </w:rPr>
            </w:pPr>
            <w:r>
              <w:rPr>
                <w:rFonts w:eastAsia="PT Serif"/>
              </w:rPr>
            </w:r>
            <w:r>
              <w:rPr>
                <w:rFonts w:eastAsia="PT Serif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18.1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границы опасных зон на время выполнения работ (оказания услуг) по действию опасных факторов на территории филиала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», не связанных с характером выполняемых работ (оказания услуг).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vMerge w:val="continue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18.2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рабочие места, на которых работы выполняются (услуги оказываются) по акту-допуску, наряду-допуску.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vMerge w:val="continue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18.3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места установки защитных ограждений и знаков без</w:t>
            </w:r>
            <w:r>
              <w:rPr>
                <w:rFonts w:eastAsia="PT Serif"/>
              </w:rPr>
              <w:t xml:space="preserve">опасности (относительно п.18.1).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vMerge w:val="continue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19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Определить: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19.1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границы опасных зон на время выполнения работ (оказания услуг) по действию опасных факторов при выполнении работ (оказании услуг).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vMerge w:val="continue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19.2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рабочие места, на которых работы выполняются по наряду-допуску.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vMerge w:val="continue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19.3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места установки защитных ограждений и знаков безопасности (относительно п.19.1).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vMerge w:val="continue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19.4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и обеспечить согласование с уполномоченным представителем филиала «Печорская ГРЭС» АО «Интер РАО </w:t>
            </w:r>
            <w:r>
              <w:rPr>
                <w:rFonts w:eastAsia="PT Serif"/>
              </w:rPr>
              <w:t xml:space="preserve">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 маршрутов движения персонала (передвижения транспортных средств либо техники)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vMerge w:val="continue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20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rPr>
                <w:rFonts w:eastAsia="Arial"/>
              </w:rPr>
            </w:pPr>
            <w:r>
              <w:rPr>
                <w:rFonts w:eastAsia="PT Serif"/>
              </w:rPr>
              <w:t xml:space="preserve">Нанести (на время выполнения работ и удалить после окончания работ) на производственное оборудование, органы управления и контроля, элементы конструкций,</w:t>
            </w:r>
            <w:r>
              <w:rPr>
                <w:rFonts w:eastAsia="PT Serif"/>
              </w:rPr>
              <w:t xml:space="preserve"> коммуникаций и на другие объекты сигнальные цвета и знаки безопасности.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Arial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Электро-генерация», </w:t>
            </w:r>
            <w:r>
              <w:rPr>
                <w:rFonts w:eastAsia="PT Serif"/>
              </w:rPr>
              <w:t xml:space="preserve">Подрядная организация</w:t>
            </w:r>
            <w:r>
              <w:rPr>
                <w:rFonts w:eastAsia="PT Serif"/>
              </w:rPr>
              <w:t xml:space="preserve"> </w:t>
            </w:r>
            <w:r>
              <w:rPr>
                <w:rFonts w:eastAsia="PT Serif"/>
                <w:i/>
              </w:rPr>
              <w:t xml:space="preserve">(по принадлежности)</w:t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21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Обеспечить общее стационарное освещение на территории производства работ.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</w:t>
            </w:r>
            <w:r>
              <w:rPr>
                <w:rFonts w:eastAsia="PT Serif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22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Обеспечить местное освещение на местах производства работ.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23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Организовать уборку территории и производственных помещений, своевременно удалять и обезвреживать </w:t>
            </w:r>
            <w:r>
              <w:rPr>
                <w:rFonts w:eastAsia="PT Serif"/>
              </w:rPr>
              <w:t xml:space="preserve">отходы производства, являющиеся</w:t>
            </w:r>
            <w:r>
              <w:rPr>
                <w:rFonts w:eastAsia="PT Serif"/>
              </w:rPr>
              <w:t xml:space="preserve"> источниками опасных и вредных производственных факторов.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24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Обеспечить принятие мер по снижению уровня воздействия, в том числе за счет изменения графика работ, или устранение влияния вредных производственных факторов на работников на их рабочих местах.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25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Обеспечить, при необходимости, установку новых и реконструкцию имеющихся на территории филиала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 средств </w:t>
            </w:r>
            <w:r>
              <w:rPr>
                <w:rFonts w:eastAsia="PT Serif"/>
              </w:rPr>
              <w:t xml:space="preserve">коллективной защиты, отопительных и вентиляционных систем, систем кондиционирования, тепловых и воздушных завес с целью обеспечения нормативных требований охраны труда по микроклимату и чистоты воздушной среды на рабочих местах работодателей на территории.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</w:t>
            </w:r>
            <w:r>
              <w:rPr>
                <w:rFonts w:eastAsia="PT Serif"/>
              </w:rPr>
            </w:r>
          </w:p>
          <w:p>
            <w:pPr>
              <w:rPr>
                <w:rFonts w:eastAsia="PT Serif"/>
              </w:rPr>
            </w:pPr>
            <w:r>
              <w:rPr>
                <w:rFonts w:eastAsia="PT Serif"/>
              </w:rPr>
            </w:r>
            <w:r>
              <w:rPr>
                <w:rFonts w:eastAsia="PT Serif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26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Обеспечить устройство тротуаров, переходов, галерей, в том числе временных на время проведения работ, а также изменение маршрутов движения транспорта на территории филиала «Печорская ГРЭС» АО</w:t>
            </w:r>
            <w:r>
              <w:rPr>
                <w:rFonts w:eastAsia="PT Serif"/>
              </w:rPr>
              <w:t xml:space="preserve">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 в целях обеспечения безопасности работников.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</w:t>
            </w:r>
            <w:r>
              <w:rPr>
                <w:rFonts w:eastAsia="PT Serif"/>
              </w:rPr>
            </w:r>
          </w:p>
          <w:p>
            <w:pPr>
              <w:rPr>
                <w:rFonts w:eastAsia="PT Serif"/>
              </w:rPr>
            </w:pPr>
            <w:r>
              <w:rPr>
                <w:rFonts w:eastAsia="PT Serif"/>
              </w:rPr>
            </w:r>
            <w:r>
              <w:rPr>
                <w:rFonts w:eastAsia="PT Serif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27</w:t>
            </w:r>
            <w:r>
              <w:rPr>
                <w:rFonts w:eastAsia="PT Serif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Определить места хранения средств индивидуальной защиты (далее - СИЗ), особенности их использования (при наличии) и места утилизации работниками одноразовых СИЗ на территории, СИЗ от поражения электрическим током (при выполнении работ в условиях повышенной</w:t>
            </w:r>
            <w:r>
              <w:rPr>
                <w:rFonts w:eastAsia="PT Serif"/>
              </w:rPr>
              <w:t xml:space="preserve"> опасности поражения электрическим током), дежурных СИЗ, предусмотренных правилами и нормами охраны труда для выполнения конкретных видов работ.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28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Определить места хранения, особенности использования (при наличии) и места утилизации работниками смывающи</w:t>
            </w:r>
            <w:r>
              <w:rPr>
                <w:rFonts w:eastAsia="PT Serif"/>
              </w:rPr>
              <w:t xml:space="preserve">х и (или) обезвреживающих средств.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29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Определить местонахождение на территории филиала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 аптечки для оказания первой помощи на время выполнения работ (услуг).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30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Определить порядок совместного использования имеющихся на территории санитарно-бытовых помещений (гардеробные, душевые, санузлы, умывальные).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Электро-генерация», </w:t>
            </w:r>
            <w:r>
              <w:rPr>
                <w:rFonts w:eastAsia="PT Serif"/>
              </w:rPr>
              <w:t xml:space="preserve">Подрядная организация</w:t>
            </w:r>
            <w:bookmarkStart w:id="0" w:name="_GoBack"/>
            <w:r/>
            <w:bookmarkEnd w:id="0"/>
            <w:r/>
            <w:r>
              <w:rPr>
                <w:rFonts w:eastAsia="PT Serif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31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PT Serif"/>
              </w:rPr>
            </w:pPr>
            <w:r>
              <w:rPr>
                <w:rFonts w:eastAsia="PT Serif"/>
              </w:rPr>
              <w:t xml:space="preserve">Определить порядок совместного использования</w:t>
            </w:r>
            <w:r>
              <w:rPr>
                <w:rFonts w:eastAsia="PT Serif"/>
              </w:rPr>
              <w:t xml:space="preserve"> имеющихся на территории филиала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 комнат обогрева, охлаждения, приема пищи, столовых.</w:t>
            </w:r>
            <w:r>
              <w:rPr>
                <w:rFonts w:eastAsia="PT Serif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</w:t>
            </w:r>
            <w:r>
              <w:rPr>
                <w:rFonts w:eastAsia="PT Serif"/>
              </w:rPr>
            </w:r>
          </w:p>
          <w:p>
            <w:pPr>
              <w:rPr>
                <w:rFonts w:eastAsia="PT Serif"/>
              </w:rPr>
            </w:pPr>
            <w:r>
              <w:rPr>
                <w:rFonts w:eastAsia="PT Serif"/>
              </w:rPr>
            </w:r>
            <w:r>
              <w:rPr>
                <w:rFonts w:eastAsia="PT Serif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32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rPr>
                <w:rFonts w:eastAsia="Arial"/>
              </w:rPr>
            </w:pPr>
            <w:r>
              <w:rPr>
                <w:rFonts w:eastAsia="PT Serif"/>
              </w:rPr>
              <w:t xml:space="preserve">Определить порядок совместного использования имеющихся н</w:t>
            </w:r>
            <w:r>
              <w:rPr>
                <w:rFonts w:eastAsia="PT Serif"/>
              </w:rPr>
              <w:t xml:space="preserve">а территории филиала «Печорская ГРЭС» АО «Интер РАО – </w:t>
            </w:r>
            <w:r>
              <w:rPr>
                <w:rFonts w:eastAsia="PT Serif"/>
              </w:rPr>
              <w:t xml:space="preserve">Электрогенерация</w:t>
            </w:r>
            <w:r>
              <w:rPr>
                <w:rFonts w:eastAsia="PT Serif"/>
              </w:rPr>
              <w:t xml:space="preserve">» </w:t>
            </w:r>
            <w:r>
              <w:rPr>
                <w:rFonts w:eastAsia="Arial"/>
              </w:rPr>
              <w:t xml:space="preserve">комнат для отдыха </w:t>
            </w:r>
            <w:r>
              <w:rPr>
                <w:rFonts w:eastAsia="Arial"/>
              </w:rPr>
              <w:t xml:space="preserve">в рабочее время, помещений и комнат психологической разгрузки</w:t>
            </w:r>
            <w:r>
              <w:rPr>
                <w:rFonts w:eastAsia="PT Serif"/>
              </w:rPr>
              <w:t xml:space="preserve">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</w:t>
            </w:r>
            <w:r>
              <w:rPr>
                <w:rFonts w:eastAsia="PT Serif"/>
              </w:rPr>
            </w:r>
          </w:p>
          <w:p>
            <w:pPr>
              <w:rPr>
                <w:rFonts w:eastAsia="Arial"/>
              </w:rPr>
            </w:pP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33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Информировать работников подрядной организации о наличии, месторасположении и режиме работы, имеющегося на территории здравпункта (при проведении вводного инструктажа).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</w:t>
            </w:r>
            <w:r>
              <w:rPr>
                <w:rFonts w:eastAsia="PT Serif"/>
              </w:rPr>
            </w:r>
          </w:p>
          <w:p>
            <w:pPr>
              <w:rPr>
                <w:rFonts w:eastAsia="Arial"/>
              </w:rPr>
            </w:pPr>
            <w:r>
              <w:rPr>
                <w:rFonts w:eastAsia="Arial"/>
              </w:rPr>
            </w:r>
            <w:r>
              <w:rPr>
                <w:rFonts w:eastAsia="Arial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34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rPr>
                <w:rFonts w:eastAsia="Arial"/>
              </w:rPr>
            </w:pPr>
            <w:r>
              <w:rPr>
                <w:rFonts w:eastAsia="Arial"/>
              </w:rPr>
              <w:t xml:space="preserve">Определение местораспол</w:t>
            </w:r>
            <w:r>
              <w:rPr>
                <w:rFonts w:eastAsia="Arial"/>
              </w:rPr>
              <w:t xml:space="preserve">ожения на территории аппаратов (устройства) для обеспечения работников горячих цехов и участков газированной соленой водой</w:t>
            </w:r>
            <w:r>
              <w:rPr>
                <w:rFonts w:eastAsia="PT Serif"/>
              </w:rPr>
              <w:t xml:space="preserve">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</w:t>
            </w:r>
            <w:r>
              <w:rPr>
                <w:rFonts w:eastAsia="PT Serif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35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Обеспечить беспрепятственный допуск автомобилей скорой медицинской по</w:t>
            </w:r>
            <w:r>
              <w:rPr>
                <w:rFonts w:eastAsia="PT Serif"/>
              </w:rPr>
              <w:t xml:space="preserve">мощи на территорию с сопровождением ее к месту несчастного случая.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rPr>
                <w:rFonts w:eastAsia="PT Serif"/>
              </w:rPr>
            </w:pPr>
            <w:r>
              <w:rPr>
                <w:rFonts w:eastAsia="PT Serif"/>
              </w:rPr>
              <w:t xml:space="preserve">Филиал «Печорская ГРЭС» АО «Интер РАО – Электро-генерация»</w:t>
            </w:r>
            <w:r>
              <w:rPr>
                <w:rFonts w:eastAsia="PT Serif"/>
              </w:rPr>
            </w:r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36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Обеспечить учет микротравм работников.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spacing w:line="283" w:lineRule="exact"/>
              <w:rPr>
                <w:rFonts w:eastAsia="Arial"/>
              </w:rPr>
            </w:pPr>
            <w:r>
              <w:rPr>
                <w:rFonts w:eastAsia="Arial"/>
              </w:rPr>
              <w:t xml:space="preserve">37</w:t>
            </w:r>
            <w:r>
              <w:rPr>
                <w:rFonts w:eastAsia="Arial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jc w:val="both"/>
              <w:spacing w:line="283" w:lineRule="exact"/>
              <w:rPr>
                <w:rFonts w:eastAsia="Arial"/>
              </w:rPr>
            </w:pPr>
            <w:r>
              <w:rPr>
                <w:rFonts w:eastAsia="PT Serif"/>
              </w:rPr>
              <w:t xml:space="preserve">Провести оценку профессиональных рисков для работников на основании и с учётом п.2 настоящего перечня.</w:t>
            </w:r>
            <w:r>
              <w:rPr>
                <w:rFonts w:eastAsia="Arial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r/>
            <w:r/>
          </w:p>
        </w:tc>
      </w:tr>
    </w:tbl>
    <w:p>
      <w:pPr>
        <w:jc w:val="center"/>
        <w:spacing w:line="283" w:lineRule="exact"/>
        <w:rPr>
          <w:rFonts w:eastAsia="Arial"/>
        </w:rPr>
      </w:pPr>
      <w:r>
        <w:rPr>
          <w:rFonts w:eastAsia="Arial"/>
        </w:rPr>
      </w:r>
      <w:r>
        <w:rPr>
          <w:rFonts w:eastAsia="Arial"/>
        </w:rPr>
      </w:r>
    </w:p>
    <w:p>
      <w:r/>
      <w:r/>
    </w:p>
    <w:p>
      <w:pPr>
        <w:jc w:val="center"/>
        <w:spacing w:line="360" w:lineRule="auto"/>
        <w:tabs>
          <w:tab w:val="left" w:pos="142" w:leader="none"/>
          <w:tab w:val="left" w:pos="426" w:leader="none"/>
        </w:tabs>
      </w:pPr>
      <w:r/>
      <w:r/>
    </w:p>
    <w:p>
      <w:pPr>
        <w:pStyle w:val="834"/>
        <w:jc w:val="both"/>
        <w:rPr>
          <w:rFonts w:ascii="Times New Roman" w:hAnsi="Times New Roman" w:eastAsia="Cambria"/>
          <w:b/>
          <w:sz w:val="24"/>
          <w:szCs w:val="24"/>
          <w:lang w:eastAsia="ru-RU"/>
        </w:rPr>
      </w:pPr>
      <w:r/>
      <w:bookmarkStart w:id="1" w:name="undefined"/>
      <w:r/>
      <w:bookmarkEnd w:id="1"/>
      <w:r/>
      <w:r>
        <w:rPr>
          <w:rFonts w:ascii="Times New Roman" w:hAnsi="Times New Roman" w:eastAsia="Cambria"/>
          <w:b/>
          <w:sz w:val="24"/>
          <w:szCs w:val="24"/>
          <w:lang w:eastAsia="ru-RU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Times New Roman">
    <w:panose1 w:val="02020603050405020304"/>
  </w:font>
  <w:font w:name="Calibri">
    <w:panose1 w:val="020F0502020204030204"/>
  </w:font>
  <w:font w:name="PT Serif">
    <w:panose1 w:val="020A0603040505020204"/>
  </w:font>
  <w:font w:name="Arial">
    <w:panose1 w:val="020B0604020202020204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6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64"/>
    <w:link w:val="65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4"/>
    <w:link w:val="65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4"/>
    <w:link w:val="65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4"/>
    <w:link w:val="6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64"/>
    <w:link w:val="66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64"/>
    <w:link w:val="66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64"/>
    <w:link w:val="6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64"/>
    <w:link w:val="66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64"/>
    <w:link w:val="676"/>
    <w:uiPriority w:val="10"/>
    <w:rPr>
      <w:sz w:val="48"/>
      <w:szCs w:val="48"/>
    </w:rPr>
  </w:style>
  <w:style w:type="character" w:styleId="38">
    <w:name w:val="Subtitle Char"/>
    <w:basedOn w:val="664"/>
    <w:link w:val="678"/>
    <w:uiPriority w:val="11"/>
    <w:rPr>
      <w:sz w:val="24"/>
      <w:szCs w:val="24"/>
    </w:rPr>
  </w:style>
  <w:style w:type="character" w:styleId="40">
    <w:name w:val="Quote Char"/>
    <w:link w:val="680"/>
    <w:uiPriority w:val="29"/>
    <w:rPr>
      <w:i/>
    </w:rPr>
  </w:style>
  <w:style w:type="character" w:styleId="42">
    <w:name w:val="Intense Quote Char"/>
    <w:link w:val="682"/>
    <w:uiPriority w:val="30"/>
    <w:rPr>
      <w:i/>
    </w:rPr>
  </w:style>
  <w:style w:type="character" w:styleId="44">
    <w:name w:val="Header Char"/>
    <w:basedOn w:val="664"/>
    <w:link w:val="684"/>
    <w:uiPriority w:val="99"/>
  </w:style>
  <w:style w:type="character" w:styleId="46">
    <w:name w:val="Footer Char"/>
    <w:basedOn w:val="664"/>
    <w:link w:val="686"/>
    <w:uiPriority w:val="99"/>
  </w:style>
  <w:style w:type="character" w:styleId="48">
    <w:name w:val="Caption Char"/>
    <w:basedOn w:val="664"/>
    <w:link w:val="688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17"/>
    <w:uiPriority w:val="99"/>
    <w:rPr>
      <w:sz w:val="18"/>
    </w:rPr>
  </w:style>
  <w:style w:type="character" w:styleId="180">
    <w:name w:val="Endnote Text Char"/>
    <w:link w:val="820"/>
    <w:uiPriority w:val="99"/>
    <w:rPr>
      <w:sz w:val="20"/>
    </w:rPr>
  </w:style>
  <w:style w:type="paragraph" w:styleId="654" w:default="1">
    <w:name w:val="Normal"/>
    <w:qFormat/>
  </w:style>
  <w:style w:type="paragraph" w:styleId="655">
    <w:name w:val="Heading 1"/>
    <w:basedOn w:val="654"/>
    <w:next w:val="654"/>
    <w:link w:val="66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next w:val="654"/>
    <w:link w:val="66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next w:val="654"/>
    <w:link w:val="66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next w:val="654"/>
    <w:link w:val="67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next w:val="654"/>
    <w:link w:val="67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next w:val="654"/>
    <w:link w:val="67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1">
    <w:name w:val="Heading 7"/>
    <w:basedOn w:val="654"/>
    <w:next w:val="654"/>
    <w:link w:val="67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2">
    <w:name w:val="Heading 8"/>
    <w:basedOn w:val="654"/>
    <w:next w:val="654"/>
    <w:link w:val="67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3">
    <w:name w:val="Heading 9"/>
    <w:basedOn w:val="654"/>
    <w:next w:val="654"/>
    <w:link w:val="67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character" w:styleId="667" w:customStyle="1">
    <w:name w:val="Заголовок 1 Знак"/>
    <w:link w:val="655"/>
    <w:uiPriority w:val="9"/>
    <w:rPr>
      <w:rFonts w:ascii="Arial" w:hAnsi="Arial" w:eastAsia="Arial" w:cs="Arial"/>
      <w:sz w:val="40"/>
      <w:szCs w:val="40"/>
    </w:rPr>
  </w:style>
  <w:style w:type="character" w:styleId="668" w:customStyle="1">
    <w:name w:val="Заголовок 2 Знак"/>
    <w:link w:val="656"/>
    <w:uiPriority w:val="9"/>
    <w:rPr>
      <w:rFonts w:ascii="Arial" w:hAnsi="Arial" w:eastAsia="Arial" w:cs="Arial"/>
      <w:sz w:val="34"/>
    </w:rPr>
  </w:style>
  <w:style w:type="character" w:styleId="669" w:customStyle="1">
    <w:name w:val="Заголовок 3 Знак"/>
    <w:link w:val="657"/>
    <w:uiPriority w:val="9"/>
    <w:rPr>
      <w:rFonts w:ascii="Arial" w:hAnsi="Arial" w:eastAsia="Arial" w:cs="Arial"/>
      <w:sz w:val="30"/>
      <w:szCs w:val="30"/>
    </w:rPr>
  </w:style>
  <w:style w:type="character" w:styleId="670" w:customStyle="1">
    <w:name w:val="Заголовок 4 Знак"/>
    <w:link w:val="658"/>
    <w:uiPriority w:val="9"/>
    <w:rPr>
      <w:rFonts w:ascii="Arial" w:hAnsi="Arial" w:eastAsia="Arial" w:cs="Arial"/>
      <w:b/>
      <w:bCs/>
      <w:sz w:val="26"/>
      <w:szCs w:val="26"/>
    </w:rPr>
  </w:style>
  <w:style w:type="character" w:styleId="671" w:customStyle="1">
    <w:name w:val="Заголовок 5 Знак"/>
    <w:link w:val="659"/>
    <w:uiPriority w:val="9"/>
    <w:rPr>
      <w:rFonts w:ascii="Arial" w:hAnsi="Arial" w:eastAsia="Arial" w:cs="Arial"/>
      <w:b/>
      <w:bCs/>
      <w:sz w:val="24"/>
      <w:szCs w:val="24"/>
    </w:rPr>
  </w:style>
  <w:style w:type="character" w:styleId="672" w:customStyle="1">
    <w:name w:val="Заголовок 6 Знак"/>
    <w:link w:val="660"/>
    <w:uiPriority w:val="9"/>
    <w:rPr>
      <w:rFonts w:ascii="Arial" w:hAnsi="Arial" w:eastAsia="Arial" w:cs="Arial"/>
      <w:b/>
      <w:bCs/>
      <w:sz w:val="22"/>
      <w:szCs w:val="22"/>
    </w:rPr>
  </w:style>
  <w:style w:type="character" w:styleId="673" w:customStyle="1">
    <w:name w:val="Заголовок 7 Знак"/>
    <w:link w:val="6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4" w:customStyle="1">
    <w:name w:val="Заголовок 8 Знак"/>
    <w:link w:val="662"/>
    <w:uiPriority w:val="9"/>
    <w:rPr>
      <w:rFonts w:ascii="Arial" w:hAnsi="Arial" w:eastAsia="Arial" w:cs="Arial"/>
      <w:i/>
      <w:iCs/>
      <w:sz w:val="22"/>
      <w:szCs w:val="22"/>
    </w:rPr>
  </w:style>
  <w:style w:type="character" w:styleId="675" w:customStyle="1">
    <w:name w:val="Заголовок 9 Знак"/>
    <w:link w:val="663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Title"/>
    <w:basedOn w:val="654"/>
    <w:next w:val="654"/>
    <w:link w:val="677"/>
    <w:uiPriority w:val="10"/>
    <w:qFormat/>
    <w:pPr>
      <w:contextualSpacing/>
      <w:spacing w:before="300"/>
    </w:pPr>
    <w:rPr>
      <w:sz w:val="48"/>
      <w:szCs w:val="48"/>
    </w:rPr>
  </w:style>
  <w:style w:type="character" w:styleId="677" w:customStyle="1">
    <w:name w:val="Заголовок Знак"/>
    <w:link w:val="676"/>
    <w:uiPriority w:val="10"/>
    <w:rPr>
      <w:sz w:val="48"/>
      <w:szCs w:val="48"/>
    </w:rPr>
  </w:style>
  <w:style w:type="paragraph" w:styleId="678">
    <w:name w:val="Subtitle"/>
    <w:basedOn w:val="654"/>
    <w:next w:val="654"/>
    <w:link w:val="679"/>
    <w:uiPriority w:val="11"/>
    <w:qFormat/>
    <w:pPr>
      <w:spacing w:before="200"/>
    </w:pPr>
    <w:rPr>
      <w:sz w:val="24"/>
      <w:szCs w:val="24"/>
    </w:rPr>
  </w:style>
  <w:style w:type="character" w:styleId="679" w:customStyle="1">
    <w:name w:val="Подзаголовок Знак"/>
    <w:link w:val="678"/>
    <w:uiPriority w:val="11"/>
    <w:rPr>
      <w:sz w:val="24"/>
      <w:szCs w:val="24"/>
    </w:rPr>
  </w:style>
  <w:style w:type="paragraph" w:styleId="680">
    <w:name w:val="Quote"/>
    <w:basedOn w:val="654"/>
    <w:next w:val="654"/>
    <w:link w:val="681"/>
    <w:uiPriority w:val="29"/>
    <w:qFormat/>
    <w:pPr>
      <w:ind w:left="720" w:right="720"/>
    </w:pPr>
    <w:rPr>
      <w:i/>
    </w:rPr>
  </w:style>
  <w:style w:type="character" w:styleId="681" w:customStyle="1">
    <w:name w:val="Цитата 2 Знак"/>
    <w:link w:val="680"/>
    <w:uiPriority w:val="29"/>
    <w:rPr>
      <w:i/>
    </w:rPr>
  </w:style>
  <w:style w:type="paragraph" w:styleId="682">
    <w:name w:val="Intense Quote"/>
    <w:basedOn w:val="654"/>
    <w:next w:val="654"/>
    <w:link w:val="68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 w:customStyle="1">
    <w:name w:val="Выделенная цитата Знак"/>
    <w:link w:val="682"/>
    <w:uiPriority w:val="30"/>
    <w:rPr>
      <w:i/>
    </w:rPr>
  </w:style>
  <w:style w:type="paragraph" w:styleId="684">
    <w:name w:val="Header"/>
    <w:basedOn w:val="65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 w:customStyle="1">
    <w:name w:val="Верхний колонтитул Знак"/>
    <w:link w:val="684"/>
    <w:uiPriority w:val="99"/>
  </w:style>
  <w:style w:type="paragraph" w:styleId="686">
    <w:name w:val="Footer"/>
    <w:basedOn w:val="654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 w:customStyle="1">
    <w:name w:val="Нижний колонтитул Знак"/>
    <w:link w:val="686"/>
    <w:uiPriority w:val="99"/>
  </w:style>
  <w:style w:type="paragraph" w:styleId="688">
    <w:name w:val="Caption"/>
    <w:basedOn w:val="654"/>
    <w:next w:val="654"/>
    <w:link w:val="68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689" w:customStyle="1">
    <w:name w:val="Название объекта Знак"/>
    <w:link w:val="688"/>
    <w:uiPriority w:val="35"/>
    <w:rPr>
      <w:b/>
      <w:bCs/>
      <w:color w:val="5b9bd5" w:themeColor="accent1"/>
      <w:sz w:val="18"/>
      <w:szCs w:val="18"/>
    </w:rPr>
  </w:style>
  <w:style w:type="table" w:styleId="690">
    <w:name w:val="Table Grid"/>
    <w:basedOn w:val="66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1" w:customStyle="1">
    <w:name w:val="Table Grid Light"/>
    <w:basedOn w:val="66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2">
    <w:name w:val="Plain Table 1"/>
    <w:basedOn w:val="66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66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Grid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2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3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 w:customStyle="1">
    <w:name w:val="Grid Table 4 - Accent 1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0" w:customStyle="1">
    <w:name w:val="Grid Table 4 - Accent 2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1" w:customStyle="1">
    <w:name w:val="Grid Table 4 - Accent 3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2" w:customStyle="1">
    <w:name w:val="Grid Table 4 - Accent 4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3" w:customStyle="1">
    <w:name w:val="Grid Table 4 - Accent 5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4" w:customStyle="1">
    <w:name w:val="Grid Table 4 - Accent 6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5">
    <w:name w:val="Grid Table 5 Dark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6" w:customStyle="1">
    <w:name w:val="Grid Table 5 Dark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2">
    <w:name w:val="Grid Table 6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3" w:customStyle="1">
    <w:name w:val="Grid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4" w:customStyle="1">
    <w:name w:val="Grid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5" w:customStyle="1">
    <w:name w:val="Grid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6" w:customStyle="1">
    <w:name w:val="Grid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7" w:customStyle="1">
    <w:name w:val="Grid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8" w:customStyle="1">
    <w:name w:val="Grid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9">
    <w:name w:val="Grid Table 7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0" w:customStyle="1">
    <w:name w:val="Grid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1" w:customStyle="1">
    <w:name w:val="Grid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2" w:customStyle="1">
    <w:name w:val="Grid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>
    <w:name w:val="List Table 1 Light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List Table 1 Light - Accent 1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2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3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4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5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6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4" w:customStyle="1">
    <w:name w:val="List Table 2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3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4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5" w:customStyle="1">
    <w:name w:val="List Table 5 Dark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>
    <w:name w:val="List Table 6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2" w:customStyle="1">
    <w:name w:val="List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3" w:customStyle="1">
    <w:name w:val="List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4" w:customStyle="1">
    <w:name w:val="List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5" w:customStyle="1">
    <w:name w:val="List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6" w:customStyle="1">
    <w:name w:val="List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7" w:customStyle="1">
    <w:name w:val="List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8">
    <w:name w:val="List Table 7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List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List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List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ned - Accent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6" w:customStyle="1">
    <w:name w:val="Lined - Accent 1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7" w:customStyle="1">
    <w:name w:val="Lined - Accent 2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8" w:customStyle="1">
    <w:name w:val="Lined - Accent 3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799" w:customStyle="1">
    <w:name w:val="Lined - Accent 4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0" w:customStyle="1">
    <w:name w:val="Lined - Accent 5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1" w:customStyle="1">
    <w:name w:val="Lined - Accent 6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2" w:customStyle="1">
    <w:name w:val="Bordered &amp; Lined - Accent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3" w:customStyle="1">
    <w:name w:val="Bordered &amp; Lined - Accent 1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4" w:customStyle="1">
    <w:name w:val="Bordered &amp; Lined - Accent 2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5" w:customStyle="1">
    <w:name w:val="Bordered &amp; Lined - Accent 3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6" w:customStyle="1">
    <w:name w:val="Bordered &amp; Lined - Accent 4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7" w:customStyle="1">
    <w:name w:val="Bordered &amp; Lined - Accent 5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8" w:customStyle="1">
    <w:name w:val="Bordered &amp; Lined - Accent 6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9" w:customStyle="1">
    <w:name w:val="Bordered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0" w:customStyle="1">
    <w:name w:val="Bordered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1" w:customStyle="1">
    <w:name w:val="Bordered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2" w:customStyle="1">
    <w:name w:val="Bordered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3" w:customStyle="1">
    <w:name w:val="Bordered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4" w:customStyle="1">
    <w:name w:val="Bordered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5" w:customStyle="1">
    <w:name w:val="Bordered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563c1" w:themeColor="hyperlink"/>
      <w:u w:val="single"/>
    </w:rPr>
  </w:style>
  <w:style w:type="paragraph" w:styleId="817">
    <w:name w:val="footnote text"/>
    <w:basedOn w:val="65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 w:customStyle="1">
    <w:name w:val="Текст сноски Знак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65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 w:customStyle="1">
    <w:name w:val="Текст концевой сноски Знак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654"/>
    <w:next w:val="654"/>
    <w:uiPriority w:val="39"/>
    <w:unhideWhenUsed/>
    <w:pPr>
      <w:spacing w:after="57"/>
    </w:pPr>
  </w:style>
  <w:style w:type="paragraph" w:styleId="824">
    <w:name w:val="toc 2"/>
    <w:basedOn w:val="654"/>
    <w:next w:val="654"/>
    <w:uiPriority w:val="39"/>
    <w:unhideWhenUsed/>
    <w:pPr>
      <w:ind w:left="283"/>
      <w:spacing w:after="57"/>
    </w:pPr>
  </w:style>
  <w:style w:type="paragraph" w:styleId="825">
    <w:name w:val="toc 3"/>
    <w:basedOn w:val="654"/>
    <w:next w:val="654"/>
    <w:uiPriority w:val="39"/>
    <w:unhideWhenUsed/>
    <w:pPr>
      <w:ind w:left="567"/>
      <w:spacing w:after="57"/>
    </w:pPr>
  </w:style>
  <w:style w:type="paragraph" w:styleId="826">
    <w:name w:val="toc 4"/>
    <w:basedOn w:val="654"/>
    <w:next w:val="654"/>
    <w:uiPriority w:val="39"/>
    <w:unhideWhenUsed/>
    <w:pPr>
      <w:ind w:left="850"/>
      <w:spacing w:after="57"/>
    </w:pPr>
  </w:style>
  <w:style w:type="paragraph" w:styleId="827">
    <w:name w:val="toc 5"/>
    <w:basedOn w:val="654"/>
    <w:next w:val="654"/>
    <w:uiPriority w:val="39"/>
    <w:unhideWhenUsed/>
    <w:pPr>
      <w:ind w:left="1134"/>
      <w:spacing w:after="57"/>
    </w:pPr>
  </w:style>
  <w:style w:type="paragraph" w:styleId="828">
    <w:name w:val="toc 6"/>
    <w:basedOn w:val="654"/>
    <w:next w:val="654"/>
    <w:uiPriority w:val="39"/>
    <w:unhideWhenUsed/>
    <w:pPr>
      <w:ind w:left="1417"/>
      <w:spacing w:after="57"/>
    </w:pPr>
  </w:style>
  <w:style w:type="paragraph" w:styleId="829">
    <w:name w:val="toc 7"/>
    <w:basedOn w:val="654"/>
    <w:next w:val="654"/>
    <w:uiPriority w:val="39"/>
    <w:unhideWhenUsed/>
    <w:pPr>
      <w:ind w:left="1701"/>
      <w:spacing w:after="57"/>
    </w:pPr>
  </w:style>
  <w:style w:type="paragraph" w:styleId="830">
    <w:name w:val="toc 8"/>
    <w:basedOn w:val="654"/>
    <w:next w:val="654"/>
    <w:uiPriority w:val="39"/>
    <w:unhideWhenUsed/>
    <w:pPr>
      <w:ind w:left="1984"/>
      <w:spacing w:after="57"/>
    </w:pPr>
  </w:style>
  <w:style w:type="paragraph" w:styleId="831">
    <w:name w:val="toc 9"/>
    <w:basedOn w:val="654"/>
    <w:next w:val="654"/>
    <w:uiPriority w:val="39"/>
    <w:unhideWhenUsed/>
    <w:pPr>
      <w:ind w:left="2268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654"/>
    <w:next w:val="654"/>
    <w:uiPriority w:val="99"/>
    <w:unhideWhenUsed/>
    <w:pPr>
      <w:spacing w:after="0"/>
    </w:pPr>
  </w:style>
  <w:style w:type="paragraph" w:styleId="834">
    <w:name w:val="No Spacing"/>
    <w:basedOn w:val="654"/>
    <w:uiPriority w:val="1"/>
    <w:qFormat/>
    <w:pPr>
      <w:spacing w:after="0" w:line="240" w:lineRule="auto"/>
    </w:pPr>
  </w:style>
  <w:style w:type="paragraph" w:styleId="835">
    <w:name w:val="List Paragraph"/>
    <w:basedOn w:val="654"/>
    <w:uiPriority w:val="34"/>
    <w:qFormat/>
    <w:pPr>
      <w:contextualSpacing/>
      <w:ind w:left="720"/>
    </w:pPr>
  </w:style>
  <w:style w:type="table" w:styleId="836" w:customStyle="1">
    <w:name w:val="Сетка таблицы2"/>
    <w:uiPriority w:val="5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W w:w="0" w:type="auto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brusnikina_in</cp:lastModifiedBy>
  <cp:revision>3</cp:revision>
  <dcterms:created xsi:type="dcterms:W3CDTF">2026-01-29T08:48:00Z</dcterms:created>
  <dcterms:modified xsi:type="dcterms:W3CDTF">2026-09-28T11:13:23Z</dcterms:modified>
</cp:coreProperties>
</file>