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2"/>
        <w:jc w:val="right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№ 3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82"/>
        <w:jc w:val="right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извещени</w:t>
      </w:r>
      <w:r>
        <w:rPr>
          <w:rFonts w:ascii="Times New Roman" w:hAnsi="Times New Roman"/>
          <w:b/>
          <w:sz w:val="24"/>
          <w:szCs w:val="24"/>
        </w:rPr>
        <w:t xml:space="preserve">ю об электронном аукционе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Style w:val="882"/>
        <w:jc w:val="center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ТЕХНИЧЕСКОЕ ЗАДАНИЕ</w:t>
      </w:r>
      <w:r>
        <w:rPr>
          <w:rFonts w:ascii="Times New Roman" w:hAnsi="Times New Roman" w:eastAsia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highlight w:val="none"/>
          <w:lang w:eastAsia="ru-RU"/>
        </w:rPr>
      </w:r>
    </w:p>
    <w:p>
      <w:pPr>
        <w:pStyle w:val="882"/>
        <w:jc w:val="center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bCs/>
          <w:sz w:val="24"/>
          <w:szCs w:val="24"/>
          <w:highlight w:val="white"/>
          <w:lang w:eastAsia="ru-RU"/>
        </w:rPr>
        <w:t xml:space="preserve"> (описание объекта закупки)</w:t>
      </w:r>
      <w:r>
        <w:rPr>
          <w:rFonts w:ascii="Times New Roman" w:hAnsi="Times New Roman" w:eastAsia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/>
          <w:b/>
          <w:bCs/>
          <w:sz w:val="24"/>
          <w:szCs w:val="24"/>
          <w:highlight w:val="white"/>
        </w:rPr>
      </w:r>
    </w:p>
    <w:p>
      <w:pPr>
        <w:pStyle w:val="882"/>
        <w:jc w:val="center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/>
          <w:b/>
          <w:bCs/>
          <w:sz w:val="24"/>
          <w:szCs w:val="24"/>
          <w:highlight w:val="white"/>
        </w:rPr>
      </w:r>
    </w:p>
    <w:p>
      <w:pPr>
        <w:pStyle w:val="882"/>
        <w:numPr>
          <w:ilvl w:val="0"/>
          <w:numId w:val="23"/>
        </w:numPr>
        <w:contextualSpacing/>
        <w:ind w:left="0" w:firstLine="426"/>
        <w:jc w:val="both"/>
        <w:spacing w:after="0" w:line="240" w:lineRule="auto"/>
        <w:widowControl w:val="off"/>
        <w:rPr>
          <w:rFonts w:ascii="Times New Roman" w:hAnsi="Times New Roman" w:eastAsia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sz w:val="24"/>
          <w:szCs w:val="24"/>
          <w:highlight w:val="white"/>
        </w:rPr>
        <w:t xml:space="preserve">Объект закупки: </w:t>
      </w:r>
      <w:r>
        <w:rPr>
          <w:rFonts w:ascii="Times New Roman" w:hAnsi="Times New Roman" w:eastAsia="Times New Roman"/>
          <w:sz w:val="24"/>
          <w:szCs w:val="24"/>
          <w:highlight w:val="white"/>
        </w:rPr>
        <w:t xml:space="preserve">Поставка противогазов и респираторов для </w:t>
      </w:r>
      <w:r>
        <w:rPr>
          <w:rFonts w:ascii="Times New Roman" w:hAnsi="Times New Roman" w:eastAsia="Times New Roman"/>
          <w:bCs/>
          <w:sz w:val="24"/>
          <w:szCs w:val="24"/>
          <w:highlight w:val="white"/>
          <w:lang w:eastAsia="ru-RU"/>
        </w:rPr>
        <w:t xml:space="preserve">нужд МТУ Ространснадзора по СЗФО</w:t>
      </w:r>
      <w:r>
        <w:rPr>
          <w:rFonts w:ascii="Times New Roman" w:hAnsi="Times New Roman" w:eastAsia="Times New Roman"/>
          <w:bCs/>
          <w:sz w:val="24"/>
          <w:szCs w:val="24"/>
          <w:highlight w:val="white"/>
        </w:rPr>
        <w:t xml:space="preserve"> (г. Калининград) (далее – Товар).</w:t>
      </w:r>
      <w:r>
        <w:rPr>
          <w:rFonts w:ascii="Times New Roman" w:hAnsi="Times New Roman" w:eastAsia="Times New Roman"/>
          <w:bCs/>
          <w:sz w:val="24"/>
          <w:szCs w:val="24"/>
          <w:highlight w:val="white"/>
        </w:rPr>
      </w:r>
      <w:r>
        <w:rPr>
          <w:rFonts w:ascii="Times New Roman" w:hAnsi="Times New Roman" w:eastAsia="Times New Roman"/>
          <w:bCs/>
          <w:sz w:val="24"/>
          <w:szCs w:val="24"/>
          <w:highlight w:val="white"/>
        </w:rPr>
      </w:r>
    </w:p>
    <w:p>
      <w:pPr>
        <w:pStyle w:val="882"/>
        <w:numPr>
          <w:ilvl w:val="0"/>
          <w:numId w:val="23"/>
        </w:numPr>
        <w:contextualSpacing/>
        <w:ind w:firstLine="66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sz w:val="24"/>
          <w:szCs w:val="24"/>
          <w:highlight w:val="white"/>
        </w:rPr>
        <w:t xml:space="preserve">Описание объекта закупки: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Style w:val="882"/>
        <w:ind w:firstLine="0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       Товар должен быть новым (который не был в употреблении, в ремонте, в том числе который не был восстановлен).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82"/>
        <w:contextualSpacing/>
        <w:ind w:left="284" w:firstLine="142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/>
          <w:b/>
          <w:sz w:val="24"/>
          <w:szCs w:val="24"/>
        </w:rPr>
        <w:t xml:space="preserve">Перечень и характеристики Товара:</w:t>
      </w:r>
      <w:r>
        <w:rPr>
          <w:rFonts w:ascii="Times New Roman" w:hAnsi="Times New Roman" w:eastAsia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/>
          <w:b/>
          <w:bCs/>
          <w:sz w:val="24"/>
          <w:szCs w:val="24"/>
          <w:highlight w:val="none"/>
        </w:rPr>
      </w:r>
    </w:p>
    <w:tbl>
      <w:tblPr>
        <w:tblW w:w="15354" w:type="dxa"/>
        <w:tblInd w:w="-1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833"/>
        <w:gridCol w:w="3128"/>
        <w:gridCol w:w="2693"/>
        <w:gridCol w:w="6094"/>
        <w:gridCol w:w="613"/>
        <w:gridCol w:w="567"/>
      </w:tblGrid>
      <w:tr>
        <w:tblPrEx/>
        <w:trPr>
          <w:trHeight w:val="40"/>
        </w:trPr>
        <w:tc>
          <w:tcPr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№ п/п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tcW w:w="183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Наименование товара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ind w:left="-57"/>
              <w:jc w:val="center"/>
              <w:spacing w:after="0" w:afterAutospacing="0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Наименование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sz w:val="18"/>
                <w:szCs w:val="18"/>
              </w:rPr>
              <w:outlineLvl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характеристики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Значение характеристики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sz w:val="18"/>
                <w:szCs w:val="18"/>
              </w:rPr>
              <w:outlineLvl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Инструкция по заполнению характеристик в заявке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tcW w:w="61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Ед.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изм.</w:t>
            </w:r>
            <w:r>
              <w:rPr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Кол-во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</w:tr>
      <w:tr>
        <w:tblPrEx/>
        <w:trPr>
          <w:trHeight w:val="165"/>
        </w:trPr>
        <w:tc>
          <w:tcPr>
            <w:tcW w:w="4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Противогаз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  <w:highlight w:val="none"/>
              </w:rPr>
            </w:r>
          </w:p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ОКПД 32.99.11.110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  <w:highlight w:val="none"/>
              </w:rPr>
            </w:r>
          </w:p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  <w:p>
            <w:pPr>
              <w:jc w:val="center"/>
              <w:spacing w:after="0" w:afterAutospacing="0"/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КТРУ 32.99.11.110-00000003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  <w:shd w:val="clear" w:color="auto" w:fill="ffffff"/>
              </w:rPr>
              <w:t xml:space="preserve">Категория маски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W w:w="6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Шт.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20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</w:tr>
      <w:tr>
        <w:tblPrEx/>
        <w:trPr>
          <w:trHeight w:val="6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  <w:shd w:val="clear" w:color="auto" w:fill="ffffff"/>
              </w:rPr>
              <w:t xml:space="preserve">Класс эффективности фильтрации аэрозолей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Р3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217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  <w:shd w:val="clear" w:color="auto" w:fill="ffffff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  <w:shd w:val="clear" w:color="auto" w:fill="ffffff"/>
              </w:rPr>
              <w:t xml:space="preserve">Класс эффективности фильтрации газов и паров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  <w:shd w:val="clear" w:color="auto" w:fill="ffffff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  <w:shd w:val="clear" w:color="auto" w:fill="ffffff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  <w:shd w:val="clear" w:color="auto" w:fill="ffffff"/>
              </w:rPr>
              <w:t xml:space="preserve">Марка фильтра противогаза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  <w:shd w:val="clear" w:color="auto" w:fill="ffffff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  <w:shd w:val="clear" w:color="auto" w:fill="ffffff"/>
              </w:rPr>
              <w:t xml:space="preserve">А, В, Е, К, SX, С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  <w:shd w:val="clear" w:color="auto" w:fill="ffffff"/>
              </w:rPr>
              <w:t xml:space="preserve">О,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  <w:shd w:val="clear" w:color="auto" w:fill="ffffff"/>
              </w:rPr>
              <w:t xml:space="preserve">HgP3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175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  <w:shd w:val="clear" w:color="auto" w:fill="ffffff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  <w:shd w:val="clear" w:color="auto" w:fill="ffffff"/>
              </w:rPr>
              <w:t xml:space="preserve">Тип ремней крепления и/или оголовья маски противогаза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  <w:shd w:val="clear" w:color="auto" w:fill="ffffff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Регулируемый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Тип противогаза по способу защиты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Фильтрующий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Тип фильтра в зависимости от вида загрязнений окружающего воздуха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Комбинированный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Размер (рост) лицевой части противогаза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  <w:t xml:space="preserve">У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ниверсальный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Тип противогаза по назначению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Гражданский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(для гражданского населения)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  <w:t xml:space="preserve">Значение характеристики не 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  <w:t xml:space="preserve">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91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white"/>
              </w:rPr>
              <w:t xml:space="preserve">Дополнительные характеристики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white"/>
              </w:rPr>
              <w:t xml:space="preserve">*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  <w:highlight w:val="white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Размер (рост)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подмасочника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 лицевой части противогаза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Универсальный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Cs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  <w:highlight w:val="white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Смотровая система лицевой части (маски)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Смотровой экран в виде стекла-корпуса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Cs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  <w:highlight w:val="white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Материал корпуса комбинированного фильтра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Металл с нанесенным на него лакокрасочным покрытием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Остаточный срок хранения на момент поставки, установленный изготовителем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 (месяц)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≥ 138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Cs/>
                <w:sz w:val="18"/>
                <w:szCs w:val="18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  <w:t xml:space="preserve">Участник закупки указывает конкретное значение показателя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  <w:highlight w:val="white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105"/>
        </w:trPr>
        <w:tc>
          <w:tcPr>
            <w:tcW w:w="4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bCs/>
                <w:iCs/>
                <w:sz w:val="18"/>
                <w:szCs w:val="1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iCs/>
                <w:sz w:val="20"/>
                <w:szCs w:val="20"/>
              </w:rPr>
              <w:t xml:space="preserve">Респиратор</w:t>
            </w:r>
            <w:r>
              <w:rPr>
                <w:rFonts w:ascii="Liberation Serif" w:hAnsi="Liberation Serif" w:eastAsia="Liberation Serif" w:cs="Liberation Serif"/>
                <w:b/>
                <w:bCs/>
                <w:iCs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iCs/>
                <w:sz w:val="18"/>
                <w:szCs w:val="18"/>
                <w:highlight w:val="none"/>
              </w:rPr>
            </w:r>
          </w:p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iCs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  <w:p>
            <w:pPr>
              <w:jc w:val="center"/>
              <w:spacing w:after="0" w:afterAutospacing="0"/>
              <w:rPr>
                <w:rFonts w:ascii="Liberation Serif" w:hAnsi="Liberation Serif" w:eastAsia="Liberation Serif" w:cs="Liberation Serif"/>
                <w:b/>
                <w:bCs/>
                <w:iCs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iCs/>
                <w:sz w:val="20"/>
                <w:szCs w:val="20"/>
              </w:rPr>
              <w:t xml:space="preserve">ОКПД 32.99.11.120</w:t>
            </w:r>
            <w:r>
              <w:rPr>
                <w:rFonts w:ascii="Liberation Serif" w:hAnsi="Liberation Serif" w:eastAsia="Liberation Serif" w:cs="Liberation Serif"/>
                <w:b/>
                <w:bCs/>
                <w:iCs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Cs/>
                <w:sz w:val="20"/>
                <w:szCs w:val="20"/>
                <w:highlight w:val="none"/>
              </w:rPr>
            </w:r>
          </w:p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iCs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iCs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jc w:val="center"/>
              <w:spacing w:after="0" w:afterAutospacing="0"/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iCs/>
                <w:sz w:val="20"/>
                <w:szCs w:val="20"/>
              </w:rPr>
              <w:t xml:space="preserve">КТРУ 32.99.11.120-000000003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Класс защиты фильтра респиратора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W w:w="6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Шт.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</w:tr>
      <w:tr>
        <w:tblPrEx/>
        <w:trPr>
          <w:trHeight w:val="46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</w:r>
            <w:r>
              <w:rPr>
                <w:b/>
                <w:iCs/>
                <w:sz w:val="18"/>
                <w:szCs w:val="18"/>
              </w:rPr>
            </w:r>
            <w:r>
              <w:rPr>
                <w:b/>
                <w:i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Класс эффективности защиты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</w:r>
            <w:r>
              <w:rPr>
                <w:b/>
                <w:iCs/>
                <w:sz w:val="18"/>
                <w:szCs w:val="18"/>
              </w:rPr>
            </w:r>
            <w:r>
              <w:rPr>
                <w:b/>
                <w:i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Тип респиратора по способу защиты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Фильтрующий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</w:r>
            <w:r>
              <w:rPr>
                <w:b/>
                <w:iCs/>
                <w:sz w:val="18"/>
                <w:szCs w:val="18"/>
              </w:rPr>
            </w:r>
            <w:r>
              <w:rPr>
                <w:b/>
                <w:i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Тип фильтра в зависимости от вида загрязнений окружающего воздуха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Газопылезащитный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</w:r>
            <w:r>
              <w:rPr>
                <w:b/>
                <w:iCs/>
                <w:sz w:val="18"/>
                <w:szCs w:val="18"/>
              </w:rPr>
            </w:r>
            <w:r>
              <w:rPr>
                <w:b/>
                <w:iCs/>
                <w:sz w:val="18"/>
                <w:szCs w:val="18"/>
              </w:rPr>
            </w:r>
          </w:p>
        </w:tc>
        <w:tc>
          <w:tcPr>
            <w:gridSpan w:val="3"/>
            <w:tcBorders>
              <w:left w:val="none" w:color="000000" w:sz="4" w:space="0"/>
              <w:right w:val="single" w:color="000000" w:sz="4" w:space="0"/>
            </w:tcBorders>
            <w:tcW w:w="1191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tabs>
                <w:tab w:val="left" w:pos="7885" w:leader="none"/>
              </w:tabs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Дополнительные характеристики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*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</w:r>
            <w:r>
              <w:rPr>
                <w:b/>
                <w:iCs/>
                <w:sz w:val="18"/>
                <w:szCs w:val="18"/>
              </w:rPr>
            </w:r>
            <w:r>
              <w:rPr>
                <w:b/>
                <w:i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31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Cs/>
                <w:iCs/>
                <w:sz w:val="20"/>
                <w:szCs w:val="20"/>
              </w:rPr>
              <w:t xml:space="preserve">Упаковка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Индивидуальная фольгированная герметичная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18"/>
                <w:szCs w:val="18"/>
              </w:rPr>
            </w:r>
          </w:p>
        </w:tc>
        <w:tc>
          <w:tcPr>
            <w:tcW w:w="6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</w:tbl>
    <w:p>
      <w:pPr>
        <w:contextualSpacing/>
        <w:ind w:left="360" w:firstLine="0"/>
        <w:jc w:val="both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  <w:highlight w:val="none"/>
        </w:rPr>
        <w:t xml:space="preserve">*</w:t>
      </w:r>
      <w:r>
        <w:rPr>
          <w:rFonts w:ascii="Times New Roman" w:hAnsi="Times New Roman" w:eastAsia="Calibri" w:cs="Times New Roman"/>
          <w:sz w:val="24"/>
          <w:szCs w:val="24"/>
        </w:rPr>
        <w:t xml:space="preserve">В связи с тем, что информация, включенная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 КТРУ, не является исчерпывающей и не позволяет точно опре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делить качественные, функциональные и технические характеристики закупаемого товара, в описании объекта закупки указана дополнительная информация их характеристик которым должен отвечать конкретный закупаемый товар и которая является значимой для заказчика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</w:t>
      </w:r>
      <w:r/>
      <w:r>
        <w:rPr>
          <w:rFonts w:ascii="Times New Roman" w:hAnsi="Times New Roman" w:eastAsia="Times New Roman"/>
          <w:bCs/>
          <w:sz w:val="24"/>
          <w:szCs w:val="24"/>
          <w:highlight w:val="none"/>
        </w:rPr>
      </w:r>
      <w:r>
        <w:rPr>
          <w:rFonts w:ascii="Times New Roman" w:hAnsi="Times New Roman" w:eastAsia="Times New Roman"/>
          <w:bCs/>
          <w:sz w:val="24"/>
          <w:szCs w:val="24"/>
          <w:highlight w:val="none"/>
        </w:rPr>
      </w:r>
    </w:p>
    <w:p>
      <w:pPr>
        <w:pStyle w:val="882"/>
        <w:contextualSpacing/>
        <w:ind w:left="360" w:firstLine="0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  <w:highlight w:val="none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3. Поставка 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товара: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 в течение 30 </w:t>
      </w:r>
      <w:r>
        <w:rPr>
          <w:rFonts w:ascii="Times New Roman" w:hAnsi="Times New Roman" w:eastAsia="Times New Roman"/>
          <w:bCs/>
          <w:i/>
          <w:iCs/>
          <w:sz w:val="24"/>
          <w:szCs w:val="24"/>
        </w:rPr>
        <w:t xml:space="preserve">(тридцати)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 календарных дней с даты заключения государственного контракта.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  <w:highlight w:val="none"/>
        </w:rPr>
      </w:r>
    </w:p>
    <w:p>
      <w:pPr>
        <w:pStyle w:val="882"/>
        <w:ind w:firstLine="708"/>
        <w:jc w:val="both"/>
        <w:spacing w:after="0" w:line="240" w:lineRule="auto"/>
        <w:rPr>
          <w:rFonts w:ascii="Times New Roman" w:hAnsi="Times New Roman" w:eastAsia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Место поставки товара: </w:t>
      </w:r>
      <w:r>
        <w:rPr>
          <w:rFonts w:ascii="Times New Roman" w:hAnsi="Times New Roman" w:eastAsia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/>
          <w:b/>
          <w:bCs/>
          <w:sz w:val="24"/>
          <w:szCs w:val="24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/>
          <w:b w:val="0"/>
          <w:bCs w:val="0"/>
          <w:sz w:val="24"/>
          <w:szCs w:val="24"/>
          <w:highlight w:val="none"/>
        </w:rPr>
        <w:t xml:space="preserve">г. Калининград, ул. </w:t>
      </w:r>
      <w:r>
        <w:rPr>
          <w:rFonts w:ascii="Times New Roman" w:hAnsi="Times New Roman" w:eastAsia="Times New Roman"/>
          <w:b w:val="0"/>
          <w:bCs w:val="0"/>
          <w:sz w:val="24"/>
          <w:szCs w:val="24"/>
          <w:highlight w:val="none"/>
        </w:rPr>
        <w:t xml:space="preserve">Сергеева, д. 2</w:t>
      </w:r>
      <w:r>
        <w:rPr>
          <w:rFonts w:ascii="Times New Roman" w:hAnsi="Times New Roman" w:eastAsia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/>
          <w:b w:val="0"/>
          <w:bCs w:val="0"/>
          <w:sz w:val="24"/>
          <w:szCs w:val="24"/>
          <w:highlight w:val="none"/>
        </w:rPr>
      </w:r>
    </w:p>
    <w:p>
      <w:pPr>
        <w:pStyle w:val="882"/>
        <w:jc w:val="both"/>
        <w:spacing w:after="0" w:line="240" w:lineRule="auto"/>
        <w:rPr>
          <w:rFonts w:ascii="Times New Roman" w:hAnsi="Times New Roman" w:eastAsia="Arial"/>
          <w:sz w:val="24"/>
          <w:szCs w:val="24"/>
          <w:highlight w:val="yellow"/>
        </w:rPr>
      </w:pPr>
      <w:r>
        <w:rPr>
          <w:rFonts w:ascii="Times New Roman" w:hAnsi="Times New Roman" w:eastAsia="Arial"/>
          <w:b/>
          <w:sz w:val="24"/>
          <w:szCs w:val="24"/>
        </w:rPr>
        <w:t xml:space="preserve">            Контактное лицо, телефон, эл. почта: 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Святская Екатерина Львовна, 8(4012)531045, svyatskaya_el@szfo.rostransnadzor.gov.ru</w:t>
      </w:r>
      <w:r>
        <w:rPr>
          <w:rFonts w:ascii="Times New Roman" w:hAnsi="Times New Roman" w:eastAsia="Arial"/>
          <w:sz w:val="24"/>
          <w:szCs w:val="24"/>
          <w:highlight w:val="yellow"/>
        </w:rPr>
      </w:r>
      <w:r>
        <w:rPr>
          <w:rFonts w:ascii="Times New Roman" w:hAnsi="Times New Roman" w:eastAsia="Arial"/>
          <w:sz w:val="24"/>
          <w:szCs w:val="24"/>
          <w:highlight w:val="yellow"/>
        </w:rPr>
      </w:r>
    </w:p>
    <w:p>
      <w:pPr>
        <w:pStyle w:val="882"/>
        <w:ind w:firstLine="0"/>
        <w:jc w:val="both"/>
        <w:spacing w:after="0" w:line="240" w:lineRule="auto"/>
        <w:widowControl w:val="off"/>
        <w:rPr>
          <w:rFonts w:ascii="Times New Roman" w:hAnsi="Times New Roman" w:eastAsia="Times New Roman"/>
          <w:bCs/>
          <w:sz w:val="24"/>
          <w:szCs w:val="24"/>
        </w:rPr>
        <w:outlineLvl w:val="0"/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     4. Требования к поставляемым товарам: 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Поставляемый товар должен быть пригодным для целей, для которых товары такого рода обычно используются, соответствовать функциональным характеристикам, установленным производителем для предлагаемого к поставке товара. 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Поставляемый товар должен соответствовать государственному стандарту, техническому регламенту, действующим на момент поставки, что подтверждается предоставлением копий сертификатов соответствия при поставке. 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В случае поставки товаров ненадлежащего качества, обнаружения производственных дефектов, либо дефектов, возникших в ходе транспортировки или погрузо-разгрузочных работах, Поставщик должен заменить данный товар своими силами и за свой счет. 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Поставка товаров должна включать в себя доставку, погрузо-разгрузочные работы, упаковку, сертификацию. Доставка должна быть осуществлена транспортом Поставщика в соответствующей таре и производственной упаковке. 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Требования к упаковке товара:</w:t>
      </w:r>
      <w:r>
        <w:rPr>
          <w:rFonts w:ascii="Times New Roman" w:hAnsi="Times New Roman" w:eastAsia="Times New Roman"/>
          <w:b/>
          <w:bCs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Товар должен поставлять</w:t>
      </w:r>
      <w:r>
        <w:rPr>
          <w:rFonts w:ascii="Times New Roman" w:hAnsi="Times New Roman" w:eastAsia="Times New Roman"/>
          <w:sz w:val="24"/>
          <w:szCs w:val="24"/>
        </w:rPr>
        <w:t xml:space="preserve">ся в упаковке изготовителя. Упаковка товара должна обеспечивать его сохранность при различных условиях транспортировки и хранения, предохранять от всякого рода повреждений, утраты товарного вида, соответствовать требованиям, рекомендованным изготовителем.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Требования к отгрузке товара: </w:t>
      </w:r>
      <w:r>
        <w:rPr>
          <w:rFonts w:ascii="Times New Roman" w:hAnsi="Times New Roman" w:eastAsia="Times New Roman"/>
          <w:b/>
          <w:bCs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Транспортировка, погрузочно-разгрузочные работы осуществляются с использованием транспорта, оборудования Поставщика и за его счет. Доставка и отгрузка товара осуществляется силами и за счёт средств Поставщика.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При отгрузке товара должна быть обеспечена защита его от атмосферных осадков, воздействия низких и высоких температур. Перевозка должна осуществляться в условиях, обеспечивающих сохранение качества и безопасности.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82"/>
        <w:contextualSpacing/>
        <w:ind w:left="360" w:firstLine="0"/>
        <w:jc w:val="both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5. Требования к гарантийному сроку товара, объему предоставления гарантий качества, к гарантийному обслуживанию товара:</w:t>
      </w:r>
      <w:r>
        <w:rPr>
          <w:rFonts w:ascii="Times New Roman" w:hAnsi="Times New Roman" w:eastAsia="Times New Roman"/>
          <w:b/>
          <w:bCs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Поставщик предоставляет гарантию качества товаров на весь объем (состав) поставленных по контракту товаров. Гарантия поставленного товара должна составлять не менее 12 месяцев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 момента приёмки Товара (подписания документа о приемке). Гарантия качества Товара распространяется на все составляющие части (комплектующие).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/>
          <w:sz w:val="24"/>
          <w:szCs w:val="24"/>
        </w:rPr>
        <w:outlineLvl w:val="0"/>
      </w:pPr>
      <w:r>
        <w:rPr>
          <w:rFonts w:ascii="Times New Roman" w:hAnsi="Times New Roman" w:eastAsia="Times New Roman"/>
          <w:b/>
          <w:sz w:val="24"/>
          <w:szCs w:val="24"/>
        </w:rPr>
        <w:t xml:space="preserve">Поставщик гарантирует: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Style w:val="882"/>
        <w:numPr>
          <w:ilvl w:val="0"/>
          <w:numId w:val="25"/>
        </w:numPr>
        <w:contextualSpacing/>
        <w:ind w:left="284" w:hanging="284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       товар соответствует требованиям качества;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82"/>
        <w:numPr>
          <w:ilvl w:val="0"/>
          <w:numId w:val="25"/>
        </w:numPr>
        <w:contextualSpacing/>
        <w:ind w:left="0" w:firstLine="0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при надлежащем хранении товара нести все расходы по замене некачественного товара, выявленного Заказчиком в течение срока гарантии качества.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82"/>
        <w:numPr>
          <w:ilvl w:val="0"/>
          <w:numId w:val="25"/>
        </w:numPr>
        <w:contextualSpacing/>
        <w:ind w:left="0" w:firstLine="0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Поставщик отвечает за негодность товара, если не докажет, </w:t>
      </w:r>
      <w:r>
        <w:rPr>
          <w:rFonts w:ascii="Times New Roman" w:hAnsi="Times New Roman" w:eastAsia="Times New Roman"/>
          <w:sz w:val="24"/>
          <w:szCs w:val="24"/>
        </w:rPr>
        <w:t xml:space="preserve">что негодность товара возникла после его передачи Заказчику вследствие нарушения Заказчиком правил хранения товара, действий третьих лиц либо непреодолимой силы. Поставщик несёт гарантийные обязательства на все поставляемые Товары в течение срока установле</w:t>
      </w:r>
      <w:r>
        <w:rPr>
          <w:rFonts w:ascii="Times New Roman" w:hAnsi="Times New Roman" w:eastAsia="Times New Roman"/>
          <w:sz w:val="24"/>
          <w:szCs w:val="24"/>
        </w:rPr>
        <w:t xml:space="preserve">нного предприятием-изготовителем. Гарантийный срок исчисляется с момента приёмки Товара (подписания Заказчиком документа о приемке). Все расходы, связанные с осуществлением гарантийных обязательств в течение срока гарантии качества товара, несет Поставщик.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sectPr>
      <w:footnotePr/>
      <w:endnotePr/>
      <w:type w:val="nextPage"/>
      <w:pgSz w:w="16838" w:h="11906" w:orient="landscape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4">
    <w:name w:val="Heading 1"/>
    <w:basedOn w:val="882"/>
    <w:next w:val="882"/>
    <w:link w:val="70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5">
    <w:name w:val="Heading 1 Char"/>
    <w:link w:val="704"/>
    <w:uiPriority w:val="9"/>
    <w:rPr>
      <w:rFonts w:ascii="Arial" w:hAnsi="Arial" w:eastAsia="Arial" w:cs="Arial"/>
      <w:sz w:val="40"/>
      <w:szCs w:val="40"/>
    </w:rPr>
  </w:style>
  <w:style w:type="paragraph" w:styleId="706">
    <w:name w:val="Heading 2"/>
    <w:basedOn w:val="882"/>
    <w:next w:val="882"/>
    <w:link w:val="70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7">
    <w:name w:val="Heading 2 Char"/>
    <w:link w:val="706"/>
    <w:uiPriority w:val="9"/>
    <w:rPr>
      <w:rFonts w:ascii="Arial" w:hAnsi="Arial" w:eastAsia="Arial" w:cs="Arial"/>
      <w:sz w:val="34"/>
    </w:rPr>
  </w:style>
  <w:style w:type="paragraph" w:styleId="708">
    <w:name w:val="Heading 3"/>
    <w:basedOn w:val="882"/>
    <w:next w:val="882"/>
    <w:link w:val="70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9">
    <w:name w:val="Heading 3 Char"/>
    <w:link w:val="708"/>
    <w:uiPriority w:val="9"/>
    <w:rPr>
      <w:rFonts w:ascii="Arial" w:hAnsi="Arial" w:eastAsia="Arial" w:cs="Arial"/>
      <w:sz w:val="30"/>
      <w:szCs w:val="30"/>
    </w:rPr>
  </w:style>
  <w:style w:type="paragraph" w:styleId="710">
    <w:name w:val="Heading 4"/>
    <w:basedOn w:val="882"/>
    <w:next w:val="882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1">
    <w:name w:val="Heading 4 Char"/>
    <w:link w:val="710"/>
    <w:uiPriority w:val="9"/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882"/>
    <w:next w:val="882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3">
    <w:name w:val="Heading 5 Char"/>
    <w:link w:val="712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82"/>
    <w:next w:val="882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82"/>
    <w:next w:val="882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82"/>
    <w:next w:val="882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82"/>
    <w:next w:val="882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List Paragraph"/>
    <w:basedOn w:val="882"/>
    <w:uiPriority w:val="34"/>
    <w:qFormat/>
    <w:pPr>
      <w:contextualSpacing/>
      <w:ind w:left="720"/>
    </w:pPr>
  </w:style>
  <w:style w:type="paragraph" w:styleId="723">
    <w:name w:val="No Spacing"/>
    <w:uiPriority w:val="1"/>
    <w:qFormat/>
    <w:pPr>
      <w:spacing w:before="0" w:after="0" w:line="240" w:lineRule="auto"/>
    </w:pPr>
  </w:style>
  <w:style w:type="paragraph" w:styleId="724">
    <w:name w:val="Title"/>
    <w:basedOn w:val="882"/>
    <w:next w:val="882"/>
    <w:link w:val="72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5">
    <w:name w:val="Title Char"/>
    <w:link w:val="724"/>
    <w:uiPriority w:val="10"/>
    <w:rPr>
      <w:sz w:val="48"/>
      <w:szCs w:val="48"/>
    </w:rPr>
  </w:style>
  <w:style w:type="paragraph" w:styleId="726">
    <w:name w:val="Subtitle"/>
    <w:basedOn w:val="882"/>
    <w:next w:val="882"/>
    <w:link w:val="727"/>
    <w:uiPriority w:val="11"/>
    <w:qFormat/>
    <w:pPr>
      <w:spacing w:before="200" w:after="200"/>
    </w:pPr>
    <w:rPr>
      <w:sz w:val="24"/>
      <w:szCs w:val="24"/>
    </w:rPr>
  </w:style>
  <w:style w:type="character" w:styleId="727">
    <w:name w:val="Subtitle Char"/>
    <w:link w:val="726"/>
    <w:uiPriority w:val="11"/>
    <w:rPr>
      <w:sz w:val="24"/>
      <w:szCs w:val="24"/>
    </w:rPr>
  </w:style>
  <w:style w:type="paragraph" w:styleId="728">
    <w:name w:val="Quote"/>
    <w:basedOn w:val="882"/>
    <w:next w:val="882"/>
    <w:link w:val="729"/>
    <w:uiPriority w:val="29"/>
    <w:qFormat/>
    <w:pPr>
      <w:ind w:left="720" w:right="720"/>
    </w:pPr>
    <w:rPr>
      <w:i/>
    </w:rPr>
  </w:style>
  <w:style w:type="character" w:styleId="729">
    <w:name w:val="Quote Char"/>
    <w:link w:val="728"/>
    <w:uiPriority w:val="29"/>
    <w:rPr>
      <w:i/>
    </w:rPr>
  </w:style>
  <w:style w:type="paragraph" w:styleId="730">
    <w:name w:val="Intense Quote"/>
    <w:basedOn w:val="882"/>
    <w:next w:val="882"/>
    <w:link w:val="73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1">
    <w:name w:val="Intense Quote Char"/>
    <w:link w:val="730"/>
    <w:uiPriority w:val="30"/>
    <w:rPr>
      <w:i/>
    </w:rPr>
  </w:style>
  <w:style w:type="paragraph" w:styleId="732">
    <w:name w:val="Header"/>
    <w:basedOn w:val="882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3">
    <w:name w:val="Header Char"/>
    <w:link w:val="732"/>
    <w:uiPriority w:val="99"/>
  </w:style>
  <w:style w:type="paragraph" w:styleId="734">
    <w:name w:val="Footer"/>
    <w:basedOn w:val="882"/>
    <w:link w:val="73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>
    <w:name w:val="Footer Char"/>
    <w:link w:val="734"/>
    <w:uiPriority w:val="99"/>
  </w:style>
  <w:style w:type="paragraph" w:styleId="736">
    <w:name w:val="Caption"/>
    <w:basedOn w:val="882"/>
    <w:next w:val="88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7">
    <w:name w:val="Caption Char"/>
    <w:basedOn w:val="736"/>
    <w:link w:val="734"/>
    <w:uiPriority w:val="99"/>
  </w:style>
  <w:style w:type="table" w:styleId="73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4">
    <w:name w:val="Hyperlink"/>
    <w:uiPriority w:val="99"/>
    <w:unhideWhenUsed/>
    <w:rPr>
      <w:color w:val="0000ff" w:themeColor="hyperlink"/>
      <w:u w:val="single"/>
    </w:rPr>
  </w:style>
  <w:style w:type="paragraph" w:styleId="865">
    <w:name w:val="footnote text"/>
    <w:basedOn w:val="882"/>
    <w:link w:val="866"/>
    <w:uiPriority w:val="99"/>
    <w:semiHidden/>
    <w:unhideWhenUsed/>
    <w:pPr>
      <w:spacing w:after="40" w:line="240" w:lineRule="auto"/>
    </w:pPr>
    <w:rPr>
      <w:sz w:val="18"/>
    </w:rPr>
  </w:style>
  <w:style w:type="character" w:styleId="866">
    <w:name w:val="Footnote Text Char"/>
    <w:link w:val="865"/>
    <w:uiPriority w:val="99"/>
    <w:rPr>
      <w:sz w:val="18"/>
    </w:rPr>
  </w:style>
  <w:style w:type="character" w:styleId="867">
    <w:name w:val="footnote reference"/>
    <w:uiPriority w:val="99"/>
    <w:unhideWhenUsed/>
    <w:rPr>
      <w:vertAlign w:val="superscript"/>
    </w:rPr>
  </w:style>
  <w:style w:type="paragraph" w:styleId="868">
    <w:name w:val="endnote text"/>
    <w:basedOn w:val="882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>
    <w:name w:val="Endnote Text Char"/>
    <w:link w:val="868"/>
    <w:uiPriority w:val="99"/>
    <w:rPr>
      <w:sz w:val="20"/>
    </w:rPr>
  </w:style>
  <w:style w:type="character" w:styleId="870">
    <w:name w:val="endnote reference"/>
    <w:uiPriority w:val="99"/>
    <w:semiHidden/>
    <w:unhideWhenUsed/>
    <w:rPr>
      <w:vertAlign w:val="superscript"/>
    </w:rPr>
  </w:style>
  <w:style w:type="paragraph" w:styleId="871">
    <w:name w:val="toc 1"/>
    <w:basedOn w:val="882"/>
    <w:next w:val="882"/>
    <w:uiPriority w:val="39"/>
    <w:unhideWhenUsed/>
    <w:pPr>
      <w:ind w:left="0" w:right="0" w:firstLine="0"/>
      <w:spacing w:after="57"/>
    </w:pPr>
  </w:style>
  <w:style w:type="paragraph" w:styleId="872">
    <w:name w:val="toc 2"/>
    <w:basedOn w:val="882"/>
    <w:next w:val="882"/>
    <w:uiPriority w:val="39"/>
    <w:unhideWhenUsed/>
    <w:pPr>
      <w:ind w:left="283" w:right="0" w:firstLine="0"/>
      <w:spacing w:after="57"/>
    </w:pPr>
  </w:style>
  <w:style w:type="paragraph" w:styleId="873">
    <w:name w:val="toc 3"/>
    <w:basedOn w:val="882"/>
    <w:next w:val="882"/>
    <w:uiPriority w:val="39"/>
    <w:unhideWhenUsed/>
    <w:pPr>
      <w:ind w:left="567" w:right="0" w:firstLine="0"/>
      <w:spacing w:after="57"/>
    </w:pPr>
  </w:style>
  <w:style w:type="paragraph" w:styleId="874">
    <w:name w:val="toc 4"/>
    <w:basedOn w:val="882"/>
    <w:next w:val="882"/>
    <w:uiPriority w:val="39"/>
    <w:unhideWhenUsed/>
    <w:pPr>
      <w:ind w:left="850" w:right="0" w:firstLine="0"/>
      <w:spacing w:after="57"/>
    </w:pPr>
  </w:style>
  <w:style w:type="paragraph" w:styleId="875">
    <w:name w:val="toc 5"/>
    <w:basedOn w:val="882"/>
    <w:next w:val="882"/>
    <w:uiPriority w:val="39"/>
    <w:unhideWhenUsed/>
    <w:pPr>
      <w:ind w:left="1134" w:right="0" w:firstLine="0"/>
      <w:spacing w:after="57"/>
    </w:pPr>
  </w:style>
  <w:style w:type="paragraph" w:styleId="876">
    <w:name w:val="toc 6"/>
    <w:basedOn w:val="882"/>
    <w:next w:val="882"/>
    <w:uiPriority w:val="39"/>
    <w:unhideWhenUsed/>
    <w:pPr>
      <w:ind w:left="1417" w:right="0" w:firstLine="0"/>
      <w:spacing w:after="57"/>
    </w:pPr>
  </w:style>
  <w:style w:type="paragraph" w:styleId="877">
    <w:name w:val="toc 7"/>
    <w:basedOn w:val="882"/>
    <w:next w:val="882"/>
    <w:uiPriority w:val="39"/>
    <w:unhideWhenUsed/>
    <w:pPr>
      <w:ind w:left="1701" w:right="0" w:firstLine="0"/>
      <w:spacing w:after="57"/>
    </w:pPr>
  </w:style>
  <w:style w:type="paragraph" w:styleId="878">
    <w:name w:val="toc 8"/>
    <w:basedOn w:val="882"/>
    <w:next w:val="882"/>
    <w:uiPriority w:val="39"/>
    <w:unhideWhenUsed/>
    <w:pPr>
      <w:ind w:left="1984" w:right="0" w:firstLine="0"/>
      <w:spacing w:after="57"/>
    </w:pPr>
  </w:style>
  <w:style w:type="paragraph" w:styleId="879">
    <w:name w:val="toc 9"/>
    <w:basedOn w:val="882"/>
    <w:next w:val="882"/>
    <w:uiPriority w:val="39"/>
    <w:unhideWhenUsed/>
    <w:pPr>
      <w:ind w:left="2268" w:right="0" w:firstLine="0"/>
      <w:spacing w:after="57"/>
    </w:pPr>
  </w:style>
  <w:style w:type="paragraph" w:styleId="880">
    <w:name w:val="TOC Heading"/>
    <w:uiPriority w:val="39"/>
    <w:unhideWhenUsed/>
  </w:style>
  <w:style w:type="paragraph" w:styleId="881">
    <w:name w:val="table of figures"/>
    <w:basedOn w:val="882"/>
    <w:next w:val="882"/>
    <w:uiPriority w:val="99"/>
    <w:unhideWhenUsed/>
    <w:pPr>
      <w:spacing w:after="0" w:afterAutospacing="0"/>
    </w:pPr>
  </w:style>
  <w:style w:type="paragraph" w:styleId="882" w:default="1">
    <w:name w:val="Normal"/>
    <w:next w:val="882"/>
    <w:link w:val="882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883">
    <w:name w:val="Основной шрифт абзаца"/>
    <w:next w:val="883"/>
    <w:link w:val="882"/>
    <w:uiPriority w:val="1"/>
    <w:unhideWhenUsed/>
  </w:style>
  <w:style w:type="table" w:styleId="884">
    <w:name w:val="Обычная таблица"/>
    <w:next w:val="884"/>
    <w:link w:val="882"/>
    <w:uiPriority w:val="99"/>
    <w:semiHidden/>
    <w:unhideWhenUsed/>
    <w:tblPr/>
  </w:style>
  <w:style w:type="numbering" w:styleId="885">
    <w:name w:val="Нет списка"/>
    <w:next w:val="885"/>
    <w:link w:val="882"/>
    <w:uiPriority w:val="99"/>
    <w:semiHidden/>
    <w:unhideWhenUsed/>
  </w:style>
  <w:style w:type="table" w:styleId="886">
    <w:name w:val="Сетка таблицы"/>
    <w:basedOn w:val="884"/>
    <w:next w:val="886"/>
    <w:link w:val="882"/>
    <w:uiPriority w:val="39"/>
    <w:rPr>
      <w:rFonts w:ascii="Times New Roman" w:hAnsi="Times New Roman"/>
      <w:sz w:val="28"/>
    </w:rPr>
    <w:tblPr/>
  </w:style>
  <w:style w:type="character" w:styleId="887" w:default="1">
    <w:name w:val="Default Paragraph Font"/>
    <w:uiPriority w:val="1"/>
    <w:semiHidden/>
    <w:unhideWhenUsed/>
  </w:style>
  <w:style w:type="numbering" w:styleId="888" w:default="1">
    <w:name w:val="No List"/>
    <w:uiPriority w:val="99"/>
    <w:semiHidden/>
    <w:unhideWhenUsed/>
  </w:style>
  <w:style w:type="table" w:styleId="889" w:default="1">
    <w:name w:val="Normal Table"/>
    <w:uiPriority w:val="99"/>
    <w:semiHidden/>
    <w:unhideWhenUsed/>
    <w:tblPr/>
  </w:style>
  <w:style w:type="character" w:styleId="890" w:customStyle="1">
    <w:name w:val="Гиперссылка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Лайдинен Айли Ивановна</dc:creator>
  <cp:revision>15</cp:revision>
  <dcterms:created xsi:type="dcterms:W3CDTF">2026-04-01T13:29:00Z</dcterms:created>
  <dcterms:modified xsi:type="dcterms:W3CDTF">2026-07-14T10:35:14Z</dcterms:modified>
  <cp:version>917504</cp:version>
</cp:coreProperties>
</file>