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188A" w14:textId="77777777" w:rsidR="00DC1F55" w:rsidRDefault="00C6094E" w:rsidP="00DC1F55">
      <w:pPr>
        <w:tabs>
          <w:tab w:val="left" w:pos="-7371"/>
        </w:tabs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67ED">
        <w:rPr>
          <w:rFonts w:ascii="Times New Roman" w:hAnsi="Times New Roman"/>
          <w:bCs/>
          <w:sz w:val="24"/>
          <w:szCs w:val="24"/>
        </w:rPr>
        <w:t xml:space="preserve"> </w:t>
      </w:r>
      <w:r w:rsidR="00DC1F55">
        <w:rPr>
          <w:rFonts w:ascii="Times New Roman" w:hAnsi="Times New Roman"/>
          <w:bCs/>
          <w:sz w:val="24"/>
          <w:szCs w:val="24"/>
        </w:rPr>
        <w:t>Приложение № 7</w:t>
      </w:r>
    </w:p>
    <w:p w14:paraId="7FB746F0" w14:textId="47E74539" w:rsidR="00DC1F55" w:rsidRPr="001F10AD" w:rsidRDefault="00DC1F55" w:rsidP="00DC1F5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1F10AD">
        <w:rPr>
          <w:rFonts w:ascii="Times New Roman" w:eastAsiaTheme="minorHAnsi" w:hAnsi="Times New Roman"/>
          <w:sz w:val="24"/>
          <w:szCs w:val="24"/>
        </w:rPr>
        <w:t xml:space="preserve">к договору </w:t>
      </w:r>
      <w:r>
        <w:rPr>
          <w:rFonts w:ascii="Times New Roman" w:eastAsiaTheme="minorHAnsi" w:hAnsi="Times New Roman"/>
          <w:sz w:val="24"/>
          <w:szCs w:val="24"/>
        </w:rPr>
        <w:t>поставки</w:t>
      </w:r>
      <w:r w:rsidRPr="001F10AD">
        <w:rPr>
          <w:rFonts w:ascii="Times New Roman" w:eastAsiaTheme="minorHAnsi" w:hAnsi="Times New Roman"/>
          <w:sz w:val="24"/>
          <w:szCs w:val="24"/>
        </w:rPr>
        <w:t xml:space="preserve"> №________ от ________ 202</w:t>
      </w:r>
      <w:r w:rsidR="00A41295">
        <w:rPr>
          <w:rFonts w:ascii="Times New Roman" w:eastAsiaTheme="minorHAnsi" w:hAnsi="Times New Roman"/>
          <w:sz w:val="24"/>
          <w:szCs w:val="24"/>
        </w:rPr>
        <w:t>4</w:t>
      </w:r>
      <w:r w:rsidRPr="001F10AD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14:paraId="3529591A" w14:textId="77777777" w:rsidR="00DC1F55" w:rsidRDefault="00DC1F55" w:rsidP="00DC1F55">
      <w:pPr>
        <w:tabs>
          <w:tab w:val="left" w:pos="-7371"/>
        </w:tabs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</w:p>
    <w:p w14:paraId="0E4C144A" w14:textId="77777777" w:rsidR="00DC1F55" w:rsidRPr="001F10AD" w:rsidRDefault="00DC1F55" w:rsidP="00DC1F55">
      <w:pPr>
        <w:tabs>
          <w:tab w:val="left" w:pos="-7371"/>
        </w:tabs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</w:p>
    <w:p w14:paraId="17B30632" w14:textId="77777777" w:rsidR="00DC1F55" w:rsidRPr="001F10AD" w:rsidRDefault="00DC1F55" w:rsidP="00DC1F55">
      <w:pPr>
        <w:tabs>
          <w:tab w:val="left" w:pos="-73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0AD">
        <w:rPr>
          <w:rFonts w:ascii="Times New Roman" w:hAnsi="Times New Roman"/>
          <w:b/>
          <w:bCs/>
          <w:sz w:val="24"/>
          <w:szCs w:val="24"/>
        </w:rPr>
        <w:t>БАНКОВСКИЕ ГАРАНТИИ</w:t>
      </w:r>
    </w:p>
    <w:p w14:paraId="4A015F31" w14:textId="77777777" w:rsidR="00DC1F55" w:rsidRPr="00414578" w:rsidRDefault="00DC1F55" w:rsidP="00DC1F55">
      <w:pPr>
        <w:pStyle w:val="a3"/>
        <w:numPr>
          <w:ilvl w:val="0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4578">
        <w:rPr>
          <w:rFonts w:ascii="Times New Roman" w:hAnsi="Times New Roman"/>
          <w:b/>
          <w:bCs/>
          <w:sz w:val="24"/>
          <w:szCs w:val="24"/>
        </w:rPr>
        <w:t xml:space="preserve">Общие положения о предоставлении Банковских гарантий </w:t>
      </w:r>
    </w:p>
    <w:p w14:paraId="31ADA907" w14:textId="77777777" w:rsidR="00DC1F55" w:rsidRPr="00B7137C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Поставщик</w:t>
      </w:r>
      <w:r w:rsidRPr="00414578">
        <w:rPr>
          <w:rFonts w:ascii="Times New Roman" w:hAnsi="Times New Roman"/>
          <w:bCs/>
          <w:sz w:val="24"/>
          <w:szCs w:val="24"/>
        </w:rPr>
        <w:t xml:space="preserve"> обязан предоставить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414578">
        <w:rPr>
          <w:rFonts w:ascii="Times New Roman" w:hAnsi="Times New Roman"/>
          <w:bCs/>
          <w:sz w:val="24"/>
          <w:szCs w:val="24"/>
        </w:rPr>
        <w:t xml:space="preserve"> на условиях настоящего договора Банковскую гарантию возврата аванса. </w:t>
      </w:r>
    </w:p>
    <w:p w14:paraId="6E3A3D4B" w14:textId="77777777" w:rsidR="00DC1F55" w:rsidRPr="00414578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4578">
        <w:rPr>
          <w:rFonts w:ascii="Times New Roman" w:hAnsi="Times New Roman"/>
          <w:bCs/>
          <w:sz w:val="24"/>
          <w:szCs w:val="24"/>
        </w:rPr>
        <w:t>Банковск</w:t>
      </w:r>
      <w:r>
        <w:rPr>
          <w:rFonts w:ascii="Times New Roman" w:hAnsi="Times New Roman"/>
          <w:bCs/>
          <w:sz w:val="24"/>
          <w:szCs w:val="24"/>
        </w:rPr>
        <w:t>ая</w:t>
      </w:r>
      <w:r w:rsidRPr="00414578">
        <w:rPr>
          <w:rFonts w:ascii="Times New Roman" w:hAnsi="Times New Roman"/>
          <w:bCs/>
          <w:sz w:val="24"/>
          <w:szCs w:val="24"/>
        </w:rPr>
        <w:t xml:space="preserve"> гаранти</w:t>
      </w:r>
      <w:r>
        <w:rPr>
          <w:rFonts w:ascii="Times New Roman" w:hAnsi="Times New Roman"/>
          <w:bCs/>
          <w:sz w:val="24"/>
          <w:szCs w:val="24"/>
        </w:rPr>
        <w:t>я должна</w:t>
      </w:r>
      <w:r w:rsidRPr="00414578">
        <w:rPr>
          <w:rFonts w:ascii="Times New Roman" w:hAnsi="Times New Roman"/>
          <w:bCs/>
          <w:sz w:val="24"/>
          <w:szCs w:val="24"/>
        </w:rPr>
        <w:t xml:space="preserve"> быть безот</w:t>
      </w:r>
      <w:r>
        <w:rPr>
          <w:rFonts w:ascii="Times New Roman" w:hAnsi="Times New Roman"/>
          <w:bCs/>
          <w:sz w:val="24"/>
          <w:szCs w:val="24"/>
        </w:rPr>
        <w:t>зывная</w:t>
      </w:r>
      <w:r w:rsidRPr="00414578">
        <w:rPr>
          <w:rFonts w:ascii="Times New Roman" w:hAnsi="Times New Roman"/>
          <w:bCs/>
          <w:sz w:val="24"/>
          <w:szCs w:val="24"/>
        </w:rPr>
        <w:t>.</w:t>
      </w:r>
    </w:p>
    <w:p w14:paraId="4B4E5896" w14:textId="77777777" w:rsidR="00DC1F55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>Бенефициаром в Банковск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1F10AD">
        <w:rPr>
          <w:rFonts w:ascii="Times New Roman" w:hAnsi="Times New Roman"/>
          <w:bCs/>
          <w:sz w:val="24"/>
          <w:szCs w:val="24"/>
        </w:rPr>
        <w:t xml:space="preserve"> гаранти</w:t>
      </w:r>
      <w:r>
        <w:rPr>
          <w:rFonts w:ascii="Times New Roman" w:hAnsi="Times New Roman"/>
          <w:bCs/>
          <w:sz w:val="24"/>
          <w:szCs w:val="24"/>
        </w:rPr>
        <w:t>и</w:t>
      </w:r>
      <w:r w:rsidRPr="001F10AD">
        <w:rPr>
          <w:rFonts w:ascii="Times New Roman" w:hAnsi="Times New Roman"/>
          <w:bCs/>
          <w:sz w:val="24"/>
          <w:szCs w:val="24"/>
        </w:rPr>
        <w:t xml:space="preserve"> должен быть указан </w:t>
      </w:r>
      <w:r>
        <w:rPr>
          <w:rFonts w:ascii="Times New Roman" w:hAnsi="Times New Roman"/>
          <w:bCs/>
          <w:sz w:val="24"/>
          <w:szCs w:val="24"/>
        </w:rPr>
        <w:t>Покупатель</w:t>
      </w:r>
      <w:r w:rsidRPr="001F10AD">
        <w:rPr>
          <w:rFonts w:ascii="Times New Roman" w:hAnsi="Times New Roman"/>
          <w:bCs/>
          <w:sz w:val="24"/>
          <w:szCs w:val="24"/>
        </w:rPr>
        <w:t xml:space="preserve">, Принципалом –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, Гарантом – банк или иная кредитная организация, выдавшая соответствующую Банковскую гарантию (далее – Гарант). </w:t>
      </w:r>
    </w:p>
    <w:p w14:paraId="17A95387" w14:textId="77777777" w:rsidR="00DC1F55" w:rsidRPr="00A34453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A34453">
        <w:rPr>
          <w:rFonts w:ascii="Times New Roman" w:hAnsi="Times New Roman"/>
          <w:bCs/>
          <w:sz w:val="24"/>
          <w:szCs w:val="24"/>
        </w:rPr>
        <w:t xml:space="preserve">Гарант должен иметь действующую лицензию на банковскую деятельность, выданную уполномоченным органом государства, резидентом которого является банк-гарант, разрешающую выдачу банковских гарантий. Гарант не должен находиться в процессе ликвидации или банкротства, для Гаранта не должна быть назначена временная администрация.  </w:t>
      </w:r>
      <w:r>
        <w:rPr>
          <w:rFonts w:ascii="Times New Roman" w:hAnsi="Times New Roman"/>
          <w:bCs/>
          <w:sz w:val="24"/>
          <w:szCs w:val="24"/>
        </w:rPr>
        <w:t>Гарант не должен являться</w:t>
      </w:r>
      <w:r w:rsidRPr="00A34453">
        <w:rPr>
          <w:rFonts w:ascii="Times New Roman" w:hAnsi="Times New Roman"/>
          <w:bCs/>
          <w:sz w:val="24"/>
          <w:szCs w:val="24"/>
        </w:rPr>
        <w:t xml:space="preserve"> Обществом Группы ПАО «НК «Роснефть»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5F61E22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4578">
        <w:rPr>
          <w:rFonts w:ascii="Times New Roman" w:hAnsi="Times New Roman"/>
          <w:sz w:val="24"/>
          <w:szCs w:val="24"/>
        </w:rPr>
        <w:t>Норматив обеспеченности собственным капиталом и сумма активов Гаранта должны соответствовать требованиям, указанным в п. 1.</w:t>
      </w:r>
      <w:r>
        <w:rPr>
          <w:rFonts w:ascii="Times New Roman" w:hAnsi="Times New Roman"/>
          <w:sz w:val="24"/>
          <w:szCs w:val="24"/>
        </w:rPr>
        <w:t>5 настоящего Приложения</w:t>
      </w:r>
      <w:r w:rsidRPr="00414578">
        <w:rPr>
          <w:rFonts w:ascii="Times New Roman" w:hAnsi="Times New Roman"/>
          <w:sz w:val="24"/>
          <w:szCs w:val="24"/>
        </w:rPr>
        <w:t>.</w:t>
      </w:r>
    </w:p>
    <w:p w14:paraId="5DEEF21D" w14:textId="77777777" w:rsidR="00DC1F55" w:rsidRPr="00414578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414578">
        <w:rPr>
          <w:rFonts w:ascii="Times New Roman" w:hAnsi="Times New Roman"/>
          <w:bCs/>
          <w:sz w:val="24"/>
          <w:szCs w:val="24"/>
        </w:rPr>
        <w:t xml:space="preserve">В зависимости от суммы предоставляемой Банковской гарантии устанавливаются следующие требования к Гаранту: 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3119"/>
        <w:gridCol w:w="3827"/>
      </w:tblGrid>
      <w:tr w:rsidR="00DC1F55" w:rsidRPr="00414578" w14:paraId="1F4EAA7A" w14:textId="77777777" w:rsidTr="005D14E2">
        <w:tc>
          <w:tcPr>
            <w:tcW w:w="2551" w:type="dxa"/>
          </w:tcPr>
          <w:p w14:paraId="32CB34BA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Сумма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8B29684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банковской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гарантии*</w:t>
            </w:r>
          </w:p>
        </w:tc>
        <w:tc>
          <w:tcPr>
            <w:tcW w:w="3119" w:type="dxa"/>
          </w:tcPr>
          <w:p w14:paraId="364522B7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Минимально допустимая сумма активов Гаранта </w:t>
            </w:r>
          </w:p>
          <w:p w14:paraId="15519B61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(млрд. руб.)** </w:t>
            </w:r>
          </w:p>
        </w:tc>
        <w:tc>
          <w:tcPr>
            <w:tcW w:w="3827" w:type="dxa"/>
          </w:tcPr>
          <w:p w14:paraId="76C283FE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Минимально допустимый показатель норматива достаточности собственного капитала первого уровня (%)</w:t>
            </w:r>
          </w:p>
        </w:tc>
      </w:tr>
      <w:tr w:rsidR="00DC1F55" w:rsidRPr="00414578" w14:paraId="609ACC51" w14:textId="77777777" w:rsidTr="005D14E2">
        <w:tc>
          <w:tcPr>
            <w:tcW w:w="2551" w:type="dxa"/>
          </w:tcPr>
          <w:p w14:paraId="27EEBFE5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до 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 млн. руб. (включительно)</w:t>
            </w:r>
          </w:p>
        </w:tc>
        <w:tc>
          <w:tcPr>
            <w:tcW w:w="3119" w:type="dxa"/>
            <w:vAlign w:val="center"/>
          </w:tcPr>
          <w:p w14:paraId="0D44892A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50</w:t>
            </w:r>
          </w:p>
        </w:tc>
        <w:tc>
          <w:tcPr>
            <w:tcW w:w="3827" w:type="dxa"/>
            <w:vMerge w:val="restart"/>
            <w:vAlign w:val="center"/>
          </w:tcPr>
          <w:p w14:paraId="194EC2FD" w14:textId="77777777" w:rsidR="00DC1F55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7D9B1642" w14:textId="77777777" w:rsidR="00DC1F55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41B1E494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</w:tr>
      <w:tr w:rsidR="00DC1F55" w:rsidRPr="00414578" w14:paraId="4DD155F8" w14:textId="77777777" w:rsidTr="005D14E2">
        <w:tc>
          <w:tcPr>
            <w:tcW w:w="2551" w:type="dxa"/>
          </w:tcPr>
          <w:p w14:paraId="2D9D355D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свыше 50 млн. руб. и до 300 млн. руб. (включительно)</w:t>
            </w:r>
          </w:p>
        </w:tc>
        <w:tc>
          <w:tcPr>
            <w:tcW w:w="3119" w:type="dxa"/>
            <w:vAlign w:val="center"/>
          </w:tcPr>
          <w:p w14:paraId="031506E2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100</w:t>
            </w:r>
          </w:p>
        </w:tc>
        <w:tc>
          <w:tcPr>
            <w:tcW w:w="3827" w:type="dxa"/>
            <w:vMerge/>
            <w:vAlign w:val="center"/>
          </w:tcPr>
          <w:p w14:paraId="58B5B443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DC1F55" w:rsidRPr="00414578" w14:paraId="0119B87A" w14:textId="77777777" w:rsidTr="005D14E2">
        <w:tc>
          <w:tcPr>
            <w:tcW w:w="2551" w:type="dxa"/>
          </w:tcPr>
          <w:p w14:paraId="72DBDD96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свыше 300 млн. руб. и до 1 млрд. руб. (включительно)</w:t>
            </w:r>
          </w:p>
        </w:tc>
        <w:tc>
          <w:tcPr>
            <w:tcW w:w="3119" w:type="dxa"/>
            <w:vAlign w:val="center"/>
          </w:tcPr>
          <w:p w14:paraId="77D0C32B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150</w:t>
            </w:r>
          </w:p>
        </w:tc>
        <w:tc>
          <w:tcPr>
            <w:tcW w:w="3827" w:type="dxa"/>
            <w:vMerge/>
            <w:vAlign w:val="center"/>
          </w:tcPr>
          <w:p w14:paraId="1EDC363E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DC1F55" w:rsidRPr="00414578" w14:paraId="2C782721" w14:textId="77777777" w:rsidTr="005D14E2">
        <w:tc>
          <w:tcPr>
            <w:tcW w:w="2551" w:type="dxa"/>
          </w:tcPr>
          <w:p w14:paraId="52C6CC87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свыше 1 млрд. руб. и до 3 млрд. руб. (включительно)</w:t>
            </w:r>
          </w:p>
        </w:tc>
        <w:tc>
          <w:tcPr>
            <w:tcW w:w="3119" w:type="dxa"/>
            <w:vAlign w:val="center"/>
          </w:tcPr>
          <w:p w14:paraId="2FA13754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300</w:t>
            </w:r>
          </w:p>
        </w:tc>
        <w:tc>
          <w:tcPr>
            <w:tcW w:w="3827" w:type="dxa"/>
            <w:vMerge/>
            <w:vAlign w:val="center"/>
          </w:tcPr>
          <w:p w14:paraId="56D4601D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14:paraId="1881FABA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3"/>
          <w:szCs w:val="23"/>
        </w:rPr>
      </w:pPr>
      <w:r w:rsidRPr="00414578">
        <w:rPr>
          <w:rFonts w:ascii="Times New Roman" w:hAnsi="Times New Roman"/>
          <w:bCs/>
          <w:sz w:val="23"/>
          <w:szCs w:val="23"/>
        </w:rPr>
        <w:t>* для целей определения требований к Гаранту в качестве суммы банковской гарантии берется общая сумма обязательств банка по всем действующим банковским гарантиям, выданным в обеспечение обязательств по настоящему Договору;</w:t>
      </w:r>
      <w:r w:rsidRPr="00414578">
        <w:rPr>
          <w:sz w:val="23"/>
          <w:szCs w:val="23"/>
        </w:rPr>
        <w:t xml:space="preserve"> </w:t>
      </w:r>
      <w:r w:rsidRPr="00414578">
        <w:rPr>
          <w:rFonts w:ascii="Times New Roman" w:hAnsi="Times New Roman"/>
          <w:bCs/>
          <w:sz w:val="23"/>
          <w:szCs w:val="23"/>
        </w:rPr>
        <w:t>сумма банковской гарантии определяется в рублях.</w:t>
      </w:r>
    </w:p>
    <w:p w14:paraId="4D7C6DF6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3"/>
          <w:szCs w:val="23"/>
        </w:rPr>
      </w:pPr>
      <w:r w:rsidRPr="00414578">
        <w:rPr>
          <w:rFonts w:ascii="Times New Roman" w:hAnsi="Times New Roman"/>
          <w:bCs/>
          <w:sz w:val="23"/>
          <w:szCs w:val="23"/>
        </w:rPr>
        <w:t>** сумма активов определя</w:t>
      </w:r>
      <w:r>
        <w:rPr>
          <w:rFonts w:ascii="Times New Roman" w:hAnsi="Times New Roman"/>
          <w:bCs/>
          <w:sz w:val="23"/>
          <w:szCs w:val="23"/>
        </w:rPr>
        <w:t>е</w:t>
      </w:r>
      <w:r w:rsidRPr="00414578">
        <w:rPr>
          <w:rFonts w:ascii="Times New Roman" w:hAnsi="Times New Roman"/>
          <w:bCs/>
          <w:sz w:val="23"/>
          <w:szCs w:val="23"/>
        </w:rPr>
        <w:t>тся в рублях.</w:t>
      </w:r>
    </w:p>
    <w:p w14:paraId="39935FA4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  <w:r w:rsidRPr="00414578">
        <w:rPr>
          <w:rFonts w:ascii="Times New Roman" w:hAnsi="Times New Roman"/>
          <w:bCs/>
          <w:sz w:val="23"/>
          <w:szCs w:val="23"/>
        </w:rPr>
        <w:t>В случае если сумма банковской гарантии выше максимального размера, установленного в таблице, предъявляются следующие требования к Гаранту: сумма банковской гарантии должна составлять не более 10% от размера собственного капитала Гаранта на последнюю отчетную дату по публикуемой отчетности и минимально допустимый показатель норматива достаточности собственного капитала первого уровня должен составлять не менее 10% на последнюю отчетную дату по публикуемой отчетности. При этом к Гаранту предъявляются требования о наличии кредитного рейтинга, указанные в настоящем Договоре</w:t>
      </w:r>
      <w:r w:rsidRPr="00414578">
        <w:rPr>
          <w:rFonts w:ascii="Times New Roman" w:hAnsi="Times New Roman"/>
          <w:sz w:val="23"/>
          <w:szCs w:val="23"/>
        </w:rPr>
        <w:t>.</w:t>
      </w:r>
    </w:p>
    <w:p w14:paraId="65C8F848" w14:textId="77777777" w:rsidR="00DC1F55" w:rsidRPr="00A262BE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В случае если сумма Банковской гарантии (общая сумма Банковских гарантий, выданных в обеспечение обязательств из настоящего договора) превышает 300 млн. руб., Гарант также должен иметь долгосрочный кредитный рейтинг по международной шкале, присвоенный как минимум одним из следующих рейтинговых агентств: Standard&amp;Poor’s, Moody’s, Fitch Ratings. При отсутствии кредитного рейтинга по международной шкале, с </w:t>
      </w:r>
      <w:r w:rsidRPr="001F10AD">
        <w:rPr>
          <w:rFonts w:ascii="Times New Roman" w:hAnsi="Times New Roman"/>
          <w:bCs/>
          <w:sz w:val="24"/>
          <w:szCs w:val="24"/>
        </w:rPr>
        <w:lastRenderedPageBreak/>
        <w:t xml:space="preserve">условием исполнения требований к размеру активов и нормативу достаточности собственного капитала Гаранта, допускается ориентация на наличие долгосрочного кредитного рейтинга по российской шкале, присвоенного как минимум одним из одним из следующих рейтинговых агентств: Эксперт РА, АКРА. Значения кредитных рейтингов, при которых допускается принятие Банковской гарантии по настоящему договору: </w:t>
      </w:r>
    </w:p>
    <w:p w14:paraId="69E9DCF6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1"/>
        <w:gridCol w:w="2091"/>
        <w:gridCol w:w="1941"/>
        <w:gridCol w:w="3291"/>
      </w:tblGrid>
      <w:tr w:rsidR="00DC1F55" w:rsidRPr="00414578" w14:paraId="578AD842" w14:textId="77777777" w:rsidTr="005D14E2">
        <w:trPr>
          <w:jc w:val="center"/>
        </w:trPr>
        <w:tc>
          <w:tcPr>
            <w:tcW w:w="2031" w:type="dxa"/>
            <w:vAlign w:val="center"/>
          </w:tcPr>
          <w:p w14:paraId="4BCEBE68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Standard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&amp;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Poor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’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414578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долгосрочный кредитный рейтинг по международной шкале</w:t>
            </w:r>
          </w:p>
        </w:tc>
        <w:tc>
          <w:tcPr>
            <w:tcW w:w="2091" w:type="dxa"/>
            <w:vAlign w:val="center"/>
          </w:tcPr>
          <w:p w14:paraId="556B6AFB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Moody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’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414578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долгосрочный рейтинг банковских депозитов по международной шкале</w:t>
            </w:r>
          </w:p>
        </w:tc>
        <w:tc>
          <w:tcPr>
            <w:tcW w:w="1941" w:type="dxa"/>
            <w:vAlign w:val="center"/>
          </w:tcPr>
          <w:p w14:paraId="14F3F8CD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Fitch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Ratings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414578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долгосрочный рейтинг дефолта эмитента по международной шкале</w:t>
            </w:r>
          </w:p>
        </w:tc>
        <w:tc>
          <w:tcPr>
            <w:tcW w:w="3291" w:type="dxa"/>
            <w:vAlign w:val="center"/>
          </w:tcPr>
          <w:p w14:paraId="6E9C8D3D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Эксперт РА, АКРА:</w:t>
            </w:r>
          </w:p>
          <w:p w14:paraId="06E342EB" w14:textId="77777777" w:rsidR="00DC1F55" w:rsidRPr="00414578" w:rsidRDefault="00DC1F55" w:rsidP="005D14E2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кредитный рейтинг, национальная шкала</w:t>
            </w:r>
          </w:p>
        </w:tc>
      </w:tr>
      <w:tr w:rsidR="00DC1F55" w:rsidRPr="00666A6B" w14:paraId="1D72977E" w14:textId="77777777" w:rsidTr="005D14E2">
        <w:trPr>
          <w:jc w:val="center"/>
        </w:trPr>
        <w:tc>
          <w:tcPr>
            <w:tcW w:w="2031" w:type="dxa"/>
          </w:tcPr>
          <w:p w14:paraId="0497403C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AAA, AA+, AA, AA-, A+, A, A-, BBB+, BBB, BBB-, BB+, BB, BB-, B+, В</w:t>
            </w:r>
          </w:p>
        </w:tc>
        <w:tc>
          <w:tcPr>
            <w:tcW w:w="2091" w:type="dxa"/>
          </w:tcPr>
          <w:p w14:paraId="3987F29F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Aaa, Aa1, Aa2, Aa3, A1, A2, A3, Baa1, Baa2, Baa3, Ba1, Ba2, Ba3, B1, B2</w:t>
            </w:r>
          </w:p>
        </w:tc>
        <w:tc>
          <w:tcPr>
            <w:tcW w:w="1941" w:type="dxa"/>
          </w:tcPr>
          <w:p w14:paraId="2F7399C6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AAA, AA+, AA, AA-, A+, A, A-, BBB+, BBB, BBB-, BB+, BB, BB-, B+, В</w:t>
            </w:r>
          </w:p>
        </w:tc>
        <w:tc>
          <w:tcPr>
            <w:tcW w:w="3291" w:type="dxa"/>
          </w:tcPr>
          <w:p w14:paraId="00DF1CDF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u w:val="single"/>
                <w:lang w:val="ru-RU"/>
              </w:rPr>
              <w:t>Эксперт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u w:val="single"/>
                <w:lang w:val="ru-RU"/>
              </w:rPr>
              <w:t>РА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 ruAAA, ruAA+, ruAA, ruAA-, ru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+, ru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, ru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-, ru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ВВВ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+, ru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ВВВ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, ru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ВВВ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14:paraId="0A63459F" w14:textId="77777777" w:rsidR="00DC1F55" w:rsidRPr="00414578" w:rsidRDefault="00DC1F55" w:rsidP="005D14E2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414578">
              <w:rPr>
                <w:rFonts w:ascii="Times New Roman" w:hAnsi="Times New Roman" w:cs="Times New Roman"/>
                <w:sz w:val="23"/>
                <w:szCs w:val="23"/>
                <w:u w:val="single"/>
                <w:lang w:val="ru-RU"/>
              </w:rPr>
              <w:t>АКРА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 AAA(RU), AA+(RU), AA(RU), AA-(RU),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+(RU),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(RU),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-(RU),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ВВВ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+(RU),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ВВВ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 xml:space="preserve">(RU), </w:t>
            </w:r>
            <w:r w:rsidRPr="0041457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ВВВ</w:t>
            </w:r>
            <w:r w:rsidRPr="00414578">
              <w:rPr>
                <w:rFonts w:ascii="Times New Roman" w:hAnsi="Times New Roman" w:cs="Times New Roman"/>
                <w:sz w:val="23"/>
                <w:szCs w:val="23"/>
              </w:rPr>
              <w:t>-(RU)</w:t>
            </w:r>
          </w:p>
        </w:tc>
      </w:tr>
    </w:tbl>
    <w:p w14:paraId="502A7AA0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  <w:r w:rsidRPr="00414578">
        <w:rPr>
          <w:rFonts w:ascii="Times New Roman" w:hAnsi="Times New Roman"/>
          <w:bCs/>
          <w:sz w:val="24"/>
          <w:szCs w:val="24"/>
        </w:rPr>
        <w:t>При отсутствии кредитного рейтинга, присвоенного как минимум одним из указанных агентств, банк должен входить в первые пятнадцать банков страны, резидентом которой он является (по критерию величины активов).</w:t>
      </w:r>
    </w:p>
    <w:p w14:paraId="08AF3704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  <w:r w:rsidRPr="00414578">
        <w:rPr>
          <w:rFonts w:ascii="Times New Roman" w:hAnsi="Times New Roman"/>
          <w:bCs/>
          <w:sz w:val="24"/>
          <w:szCs w:val="24"/>
        </w:rPr>
        <w:t xml:space="preserve">Источником информации о наличии лицензии банка, размере активов, собственного капитала и наличии кредитного рейтинга, является интернет-сайт уполномоченного на выдачу лицензий по банковской деятельности органа государства, резидентом которого является банк-гарант, официальный интернет-сайт банка-гаранта или интернет-сайты крупнейших международных или национальных (по государству, резидентом которого является </w:t>
      </w:r>
      <w:r>
        <w:rPr>
          <w:rFonts w:ascii="Times New Roman" w:hAnsi="Times New Roman"/>
          <w:bCs/>
          <w:sz w:val="24"/>
          <w:szCs w:val="24"/>
        </w:rPr>
        <w:t>Поставщик или Покупатель</w:t>
      </w:r>
      <w:r w:rsidRPr="00414578">
        <w:rPr>
          <w:rFonts w:ascii="Times New Roman" w:hAnsi="Times New Roman"/>
          <w:bCs/>
          <w:sz w:val="24"/>
          <w:szCs w:val="24"/>
        </w:rPr>
        <w:t>) рейтинговых или информационных агентств.</w:t>
      </w:r>
    </w:p>
    <w:p w14:paraId="44DE3905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Гарант и тексты Банковских гарантий должны быть заблаговременно согласованы с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1F10AD">
        <w:rPr>
          <w:rFonts w:ascii="Times New Roman" w:hAnsi="Times New Roman"/>
          <w:bCs/>
          <w:sz w:val="24"/>
          <w:szCs w:val="24"/>
        </w:rPr>
        <w:t xml:space="preserve"> в письменной форме. Проект соответствующей Банковской гарантии должен быть предоставлен </w:t>
      </w:r>
      <w:r>
        <w:rPr>
          <w:rFonts w:ascii="Times New Roman" w:hAnsi="Times New Roman"/>
          <w:bCs/>
          <w:sz w:val="24"/>
          <w:szCs w:val="24"/>
        </w:rPr>
        <w:t>Поставщиком</w:t>
      </w:r>
      <w:r w:rsidRPr="001F10AD">
        <w:rPr>
          <w:rFonts w:ascii="Times New Roman" w:hAnsi="Times New Roman"/>
          <w:bCs/>
          <w:sz w:val="24"/>
          <w:szCs w:val="24"/>
        </w:rPr>
        <w:t xml:space="preserve"> на согласование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1F10AD">
        <w:rPr>
          <w:rFonts w:ascii="Times New Roman" w:hAnsi="Times New Roman"/>
          <w:bCs/>
          <w:sz w:val="24"/>
          <w:szCs w:val="24"/>
        </w:rPr>
        <w:t xml:space="preserve"> вместе c копиями документов, указанных в пункте 1.1</w:t>
      </w:r>
      <w:r>
        <w:rPr>
          <w:rFonts w:ascii="Times New Roman" w:hAnsi="Times New Roman"/>
          <w:bCs/>
          <w:sz w:val="24"/>
          <w:szCs w:val="24"/>
        </w:rPr>
        <w:t>4</w:t>
      </w:r>
      <w:r w:rsidRPr="001F1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настоящего Приложения</w:t>
      </w:r>
      <w:r w:rsidRPr="001F10AD">
        <w:rPr>
          <w:rFonts w:ascii="Times New Roman" w:hAnsi="Times New Roman"/>
          <w:bCs/>
          <w:sz w:val="24"/>
          <w:szCs w:val="24"/>
        </w:rPr>
        <w:t xml:space="preserve">.  </w:t>
      </w:r>
    </w:p>
    <w:p w14:paraId="1C3E40DF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Расходы по выпуску и обслуживанию Банковских гарантий несет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. </w:t>
      </w:r>
    </w:p>
    <w:p w14:paraId="1B4B6C80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Банковская гарантия должна быть подписана лицом, имеющим право действовать от лица Гаранта без доверенности, или надлежащим образом, уполномоченным им лицом на основании доверенности. В последнем случае надлежащим образом заверенная Гарантом копия доверенности прикладывается к Банковской гарантии. </w:t>
      </w:r>
    </w:p>
    <w:p w14:paraId="378E3AE6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В Банковской гарантии должно быть предусмотрено безусловное право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 (Бенефициара) на истребование суммы Банковской гарантии полностью или частично в случае неисполнения П</w:t>
      </w:r>
      <w:r>
        <w:rPr>
          <w:rFonts w:ascii="Times New Roman" w:hAnsi="Times New Roman"/>
          <w:bCs/>
          <w:sz w:val="24"/>
          <w:szCs w:val="24"/>
        </w:rPr>
        <w:t>оставщиком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обязательства, исполнение которого обеспечивается данной Банковской гарантией. Платеж по Банковской гарантии должен быть осуществлен Гарантом в течение 5 (Пяти) Рабочих дней после получения Гарантом письменного требования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 и предоставления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1F10AD">
        <w:rPr>
          <w:rFonts w:ascii="Times New Roman" w:hAnsi="Times New Roman"/>
          <w:bCs/>
          <w:sz w:val="24"/>
          <w:szCs w:val="24"/>
        </w:rPr>
        <w:t xml:space="preserve"> заверенных копий документов, перечисленных в Банковской гарантии. Требование направляется по месту нахождения Гаранта, указанному в его учредительных документах. Требование должно быть подписано уполномоченным лицом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>. Также в</w:t>
      </w:r>
      <w:r>
        <w:rPr>
          <w:rFonts w:ascii="Times New Roman" w:hAnsi="Times New Roman"/>
          <w:bCs/>
          <w:sz w:val="24"/>
          <w:szCs w:val="24"/>
        </w:rPr>
        <w:t>озможно направление требования Покупателем</w:t>
      </w:r>
      <w:r w:rsidRPr="001F10AD">
        <w:rPr>
          <w:rFonts w:ascii="Times New Roman" w:hAnsi="Times New Roman"/>
          <w:bCs/>
          <w:sz w:val="24"/>
          <w:szCs w:val="24"/>
        </w:rPr>
        <w:t xml:space="preserve"> Гаранту через банк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, который посредством своего аутентифицированного SWIFT-сообщения подтвердит, что требование подписано уполномоченными лицами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. Сообщение банка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 должно содержать полный текст требования, а также указывать номер и дату почтового отправления в случае, если требование направлено Гаранту через организацию услуг связи, или дату отметки </w:t>
      </w:r>
      <w:r w:rsidRPr="001F10AD">
        <w:rPr>
          <w:rFonts w:ascii="Times New Roman" w:hAnsi="Times New Roman"/>
          <w:bCs/>
          <w:sz w:val="24"/>
          <w:szCs w:val="24"/>
        </w:rPr>
        <w:lastRenderedPageBreak/>
        <w:t xml:space="preserve">Гаранта о получении в случае, если требование было доставлено непосредственно по месту нахождения Гаранта, указанному в его учредительных документах. </w:t>
      </w:r>
    </w:p>
    <w:p w14:paraId="66765F92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>Банковская гарантия должна содержать указание на настоящий Договор путем указания на номер, дату, Стороны Договора и описание предмета Договора.</w:t>
      </w:r>
    </w:p>
    <w:p w14:paraId="663D51F5" w14:textId="77777777" w:rsidR="00DC1F55" w:rsidRPr="000A5841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0A5841">
        <w:rPr>
          <w:rFonts w:ascii="Times New Roman" w:hAnsi="Times New Roman"/>
          <w:bCs/>
          <w:sz w:val="24"/>
          <w:szCs w:val="24"/>
        </w:rPr>
        <w:t xml:space="preserve">Валюта </w:t>
      </w:r>
      <w:r>
        <w:rPr>
          <w:rFonts w:ascii="Times New Roman" w:hAnsi="Times New Roman"/>
          <w:bCs/>
          <w:sz w:val="24"/>
          <w:szCs w:val="24"/>
        </w:rPr>
        <w:t>Банковской гарантии должна совпадать с валютой Договора.</w:t>
      </w:r>
    </w:p>
    <w:p w14:paraId="597E0FC0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Банковская гарантия должна содержать указание на согласие Гаранта с тем, что внесение изменений и дополнений в Договор не освобождает его от обязательств по Банковской гарантии. </w:t>
      </w:r>
    </w:p>
    <w:p w14:paraId="542F1A3B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обязан предоставить в комплекте с Банковской гарантией документы, подтверждающие полномочия подписавших Банковскую гарантию лиц и соответствие Гаранта требованиям, установленным настоящим договором. В случае, если банк-гарант является резидентом Российской Федерации устанавливается следующий перечень документов: </w:t>
      </w:r>
    </w:p>
    <w:p w14:paraId="2E0E2F56" w14:textId="77777777" w:rsidR="00DC1F55" w:rsidRPr="00414578" w:rsidRDefault="00DC1F55" w:rsidP="00DC1F55">
      <w:pPr>
        <w:numPr>
          <w:ilvl w:val="0"/>
          <w:numId w:val="1"/>
        </w:numPr>
        <w:tabs>
          <w:tab w:val="left" w:pos="-1985"/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банковской деятельности, действующая на дату выдачи Банковской гарантии (копия, заверенная Гарантом, либо нотариально заверенная копия);</w:t>
      </w:r>
    </w:p>
    <w:p w14:paraId="713AD147" w14:textId="77777777" w:rsidR="00DC1F55" w:rsidRPr="00414578" w:rsidRDefault="00DC1F55" w:rsidP="00DC1F55">
      <w:pPr>
        <w:numPr>
          <w:ilvl w:val="0"/>
          <w:numId w:val="1"/>
        </w:numPr>
        <w:tabs>
          <w:tab w:val="left" w:pos="-1985"/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документы, удостоверяющие право лица, подписывающего Банковскую гарантию, подписывать банковские гарантии от лица Гаранта, в том числе:</w:t>
      </w:r>
    </w:p>
    <w:p w14:paraId="787B853A" w14:textId="77777777" w:rsidR="00DC1F55" w:rsidRPr="004145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устав Гаранта со всеми изменениями и дополнениями, зарегистрированными в установленном порядке, на дату выдачи Банковской гарантии (заверенная Гарантом или нотариусом копия);</w:t>
      </w:r>
    </w:p>
    <w:p w14:paraId="35B30CC3" w14:textId="77777777" w:rsidR="00DC1F55" w:rsidRPr="004145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в случае оформления Банковской гарантии обособленными структурными подразделениями Гаранта – указанные в учредительных документах Гаранта документы, регламентирующие деятельность обособленного структурного подразделения Гаранта (положение о филиале, положение о дополнительном офисе, иные документы);</w:t>
      </w:r>
    </w:p>
    <w:p w14:paraId="30FD7712" w14:textId="77777777" w:rsidR="00DC1F55" w:rsidRPr="004145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решение (выписка из протокола) уполномоченного органа управления Гаранта о назначении (избрании) единоличного исполнительного органа Гаранта (копия, заверенная Гарантом);</w:t>
      </w:r>
    </w:p>
    <w:p w14:paraId="06CDCC67" w14:textId="77777777" w:rsidR="00DC1F55" w:rsidRPr="004145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доверенность на уполномоченное лицо, действующее от имени Гаранта (оригинал или копия, заверенная Гарантом) (в случае если Банковская гарантия планируется к подписанию уполномоченным лицом, действующим от имени Гаранта на основании доверенности). В случае, если в доверенности на право подписи Банковской гарантии имеются ограничения (подписание Банковской гарантии осуществляется в рамках внутренних нормативных документов Гаранта, решений кредитных комитетов, структурных подразделений или должностных лиц Гаранта), необходимо представление всех поименованных в доверенности решений или, в случае отказа Гаранта от предоставления данных документов, письма от уполномоченного лица Гаранта о том, что предоставление Банковской гарантии осуществляется в соответствии с решениями, перечисленными в доверенности;</w:t>
      </w:r>
    </w:p>
    <w:p w14:paraId="20273D3F" w14:textId="77777777" w:rsidR="00DC1F55" w:rsidRPr="004145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приказ о приеме на работу главного бухгалтера (заверенная Гарантом копия) либо доверенность на работника, исполняющего обязанности главного бухгалтера, согласованная с главным бухгалтером Гаранта (оригинал либо заверенная Гарантом копия), либо приказ о возложении обязанностей главного бухгалтера на другого работника (заверенная Гарантом копия). В случае если отсутствуют документы, подтверждающие полномочия (право второй подписи) главного бухгалтера обособленного (внутреннего) структурного подразделения (филиала, дополнительного офиса, кредитно-кассового офиса и др.) или иного лица, подписавшего Банковскую гарантию вместо главного бухгалтера, должно быть предоставлено письмо-подтверждение (либо иной организационно-распорядительный документ) о предоставлении права подписи на банковских гарантиях, подписанное уполномоченным лицом и главным бухгалтером Гаранта;</w:t>
      </w:r>
    </w:p>
    <w:p w14:paraId="1C656BB6" w14:textId="77777777" w:rsidR="00DC1F55" w:rsidRPr="000B73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  <w:r w:rsidRPr="000B737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выписка из Единого государственного реестра юридических лиц (ЕГРЮЛ), срок предоставления которой составляет не более 30 дней с даты ее выдачи регистрирующим органом (оригинал или нотариально заверенная копия);</w:t>
      </w:r>
    </w:p>
    <w:p w14:paraId="79E1E614" w14:textId="77777777" w:rsidR="00DC1F55" w:rsidRPr="000B7378" w:rsidRDefault="00DC1F55" w:rsidP="00DC1F55">
      <w:pPr>
        <w:numPr>
          <w:ilvl w:val="0"/>
          <w:numId w:val="2"/>
        </w:numPr>
        <w:tabs>
          <w:tab w:val="left" w:pos="-1985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  <w:r w:rsidRPr="000B737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lastRenderedPageBreak/>
        <w:t xml:space="preserve">иные документы по запросу Покупателя. </w:t>
      </w:r>
    </w:p>
    <w:p w14:paraId="6A44799C" w14:textId="77777777" w:rsidR="00DC1F55" w:rsidRPr="00414578" w:rsidRDefault="00DC1F55" w:rsidP="00DC1F55">
      <w:pPr>
        <w:pStyle w:val="a3"/>
        <w:tabs>
          <w:tab w:val="left" w:pos="-1985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7378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В случае предоставления копий документов, заверенных Гарантом, комплект документов должен содержать нотариально заверенную копию банковской карточки с образцами подписей и печати, на основании которой представляется возможным идентифицировать подписи лиц, заверивших копии документов либо нотариально заверенную копию доверенности на заверяющее лицо.</w:t>
      </w:r>
    </w:p>
    <w:p w14:paraId="5FFA48AF" w14:textId="77777777" w:rsidR="00DC1F55" w:rsidRPr="00414578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Поставщик</w:t>
      </w:r>
      <w:r w:rsidRPr="00414578">
        <w:rPr>
          <w:rFonts w:ascii="Times New Roman" w:hAnsi="Times New Roman"/>
          <w:bCs/>
          <w:sz w:val="24"/>
          <w:szCs w:val="24"/>
        </w:rPr>
        <w:t xml:space="preserve"> передает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414578">
        <w:rPr>
          <w:rFonts w:ascii="Times New Roman" w:hAnsi="Times New Roman"/>
          <w:bCs/>
          <w:sz w:val="24"/>
          <w:szCs w:val="24"/>
        </w:rPr>
        <w:t xml:space="preserve"> Банковскую гарантию с комплектом документов, указанных в пункте 1.1</w:t>
      </w:r>
      <w:r>
        <w:rPr>
          <w:rFonts w:ascii="Times New Roman" w:hAnsi="Times New Roman"/>
          <w:bCs/>
          <w:sz w:val="24"/>
          <w:szCs w:val="24"/>
        </w:rPr>
        <w:t>4</w:t>
      </w:r>
      <w:r w:rsidRPr="00414578">
        <w:rPr>
          <w:rFonts w:ascii="Times New Roman" w:hAnsi="Times New Roman"/>
          <w:bCs/>
          <w:sz w:val="24"/>
          <w:szCs w:val="24"/>
        </w:rPr>
        <w:t xml:space="preserve"> настоящего </w:t>
      </w:r>
      <w:r>
        <w:rPr>
          <w:rFonts w:ascii="Times New Roman" w:hAnsi="Times New Roman"/>
          <w:bCs/>
          <w:sz w:val="24"/>
          <w:szCs w:val="24"/>
        </w:rPr>
        <w:t>приложения</w:t>
      </w:r>
      <w:r w:rsidRPr="00414578">
        <w:rPr>
          <w:rFonts w:ascii="Times New Roman" w:hAnsi="Times New Roman"/>
          <w:bCs/>
          <w:sz w:val="24"/>
          <w:szCs w:val="24"/>
        </w:rPr>
        <w:t xml:space="preserve">, по акту приемки-передачи. Дата подписания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414578">
        <w:rPr>
          <w:rFonts w:ascii="Times New Roman" w:hAnsi="Times New Roman"/>
          <w:bCs/>
          <w:sz w:val="24"/>
          <w:szCs w:val="24"/>
        </w:rPr>
        <w:t xml:space="preserve"> акта приема-передачи Банковской гарантии и сопутствующих документов является датой принятия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414578">
        <w:rPr>
          <w:rFonts w:ascii="Times New Roman" w:hAnsi="Times New Roman"/>
          <w:bCs/>
          <w:sz w:val="24"/>
          <w:szCs w:val="24"/>
        </w:rPr>
        <w:t xml:space="preserve"> Банковской гарантии.</w:t>
      </w:r>
    </w:p>
    <w:p w14:paraId="1FC35ACF" w14:textId="77777777" w:rsidR="00DC1F55" w:rsidRPr="00414578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414578">
        <w:rPr>
          <w:rFonts w:ascii="Times New Roman" w:hAnsi="Times New Roman"/>
          <w:bCs/>
          <w:sz w:val="24"/>
          <w:szCs w:val="24"/>
        </w:rPr>
        <w:t xml:space="preserve">При предоставлении второй и последующих Банковских гарантий по настоящему договору, равно как при внесении изменений в ранее представленные Банковские гарантии, </w:t>
      </w:r>
      <w:r>
        <w:rPr>
          <w:rFonts w:ascii="Times New Roman" w:hAnsi="Times New Roman"/>
          <w:bCs/>
          <w:sz w:val="24"/>
          <w:szCs w:val="24"/>
        </w:rPr>
        <w:t>Поставщик обязан направить Покупателю</w:t>
      </w:r>
      <w:r w:rsidRPr="00414578">
        <w:rPr>
          <w:rFonts w:ascii="Times New Roman" w:hAnsi="Times New Roman"/>
          <w:bCs/>
          <w:sz w:val="24"/>
          <w:szCs w:val="24"/>
        </w:rPr>
        <w:t xml:space="preserve"> документы, перечисленные в пункте 1.1</w:t>
      </w:r>
      <w:r>
        <w:rPr>
          <w:rFonts w:ascii="Times New Roman" w:hAnsi="Times New Roman"/>
          <w:bCs/>
          <w:sz w:val="24"/>
          <w:szCs w:val="24"/>
        </w:rPr>
        <w:t>4</w:t>
      </w:r>
      <w:r w:rsidRPr="00414578">
        <w:rPr>
          <w:rFonts w:ascii="Times New Roman" w:hAnsi="Times New Roman"/>
          <w:bCs/>
          <w:sz w:val="24"/>
          <w:szCs w:val="24"/>
        </w:rPr>
        <w:t xml:space="preserve">, изменившиеся по сравнению с редакцией, направленной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414578">
        <w:rPr>
          <w:rFonts w:ascii="Times New Roman" w:hAnsi="Times New Roman"/>
          <w:bCs/>
          <w:sz w:val="24"/>
          <w:szCs w:val="24"/>
        </w:rPr>
        <w:t xml:space="preserve"> с первоначальной Банковской гарантией (новая редакция или внесение изменений в документы, подтверждение полномочий новых подписантов). Также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414578">
        <w:rPr>
          <w:rFonts w:ascii="Times New Roman" w:hAnsi="Times New Roman"/>
          <w:bCs/>
          <w:sz w:val="24"/>
          <w:szCs w:val="24"/>
        </w:rPr>
        <w:t xml:space="preserve"> обязан предоставить письмо Гаранта об отсутствии изменений учредительных и иных документов Гаранта (за исключением оговоренных).</w:t>
      </w:r>
    </w:p>
    <w:p w14:paraId="247F8CFE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Заключение дополнительного соглашения к настоящему </w:t>
      </w:r>
      <w:r>
        <w:rPr>
          <w:rFonts w:ascii="Times New Roman" w:hAnsi="Times New Roman"/>
          <w:bCs/>
          <w:sz w:val="24"/>
          <w:szCs w:val="24"/>
        </w:rPr>
        <w:t>Д</w:t>
      </w:r>
      <w:r w:rsidRPr="001F10AD">
        <w:rPr>
          <w:rFonts w:ascii="Times New Roman" w:hAnsi="Times New Roman"/>
          <w:bCs/>
          <w:sz w:val="24"/>
          <w:szCs w:val="24"/>
        </w:rPr>
        <w:t xml:space="preserve">оговору, влекущего или допускающего продление сроков исполнения (в целом либо в той или иной части) обязательств </w:t>
      </w:r>
      <w:r>
        <w:rPr>
          <w:rFonts w:ascii="Times New Roman" w:hAnsi="Times New Roman"/>
          <w:bCs/>
          <w:sz w:val="24"/>
          <w:szCs w:val="24"/>
        </w:rPr>
        <w:t>Поставщика</w:t>
      </w:r>
      <w:r w:rsidRPr="001F10AD">
        <w:rPr>
          <w:rFonts w:ascii="Times New Roman" w:hAnsi="Times New Roman"/>
          <w:bCs/>
          <w:sz w:val="24"/>
          <w:szCs w:val="24"/>
        </w:rPr>
        <w:t xml:space="preserve">, которые могут оказать влияние на исполнение обеспеченных Банковской гарантией обязательств </w:t>
      </w:r>
      <w:r>
        <w:rPr>
          <w:rFonts w:ascii="Times New Roman" w:hAnsi="Times New Roman"/>
          <w:bCs/>
          <w:sz w:val="24"/>
          <w:szCs w:val="24"/>
        </w:rPr>
        <w:t>Поставщика</w:t>
      </w:r>
      <w:r w:rsidRPr="001F10AD">
        <w:rPr>
          <w:rFonts w:ascii="Times New Roman" w:hAnsi="Times New Roman"/>
          <w:bCs/>
          <w:sz w:val="24"/>
          <w:szCs w:val="24"/>
        </w:rPr>
        <w:t xml:space="preserve">, осуществляется при условии предоставления </w:t>
      </w:r>
      <w:r>
        <w:rPr>
          <w:rFonts w:ascii="Times New Roman" w:hAnsi="Times New Roman"/>
          <w:bCs/>
          <w:sz w:val="24"/>
          <w:szCs w:val="24"/>
        </w:rPr>
        <w:t>Поставщиком</w:t>
      </w:r>
      <w:r w:rsidRPr="001F10AD">
        <w:rPr>
          <w:rFonts w:ascii="Times New Roman" w:hAnsi="Times New Roman"/>
          <w:bCs/>
          <w:sz w:val="24"/>
          <w:szCs w:val="24"/>
        </w:rPr>
        <w:t xml:space="preserve"> новых безотзывных банковских гарантий (продления соответствующей Банковской гарантии) на соответствующий срок на условиях, указанных в настоящем разделе Договора.</w:t>
      </w:r>
    </w:p>
    <w:p w14:paraId="4C50C54A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В случае, если когда-либо и по какой-либо причине представленная Банковская гарантия окажется юридически недействительной или если у банка, предоставившего Банковскую гарантию в рамках Договора, отозвана в соответствии с законодательством Российской Федерации лицензия на осуществление банковских операций или выдавший Банковскую гарантию банк утратит платежеспособность, ликвидируется, становится объектом конкурсного управления, достигает компромиссного соглашения с его кредиторами или продолжает деятельность в их пользу под руководством доверительного управляющего, а также при осуществлении любых действий или наступления любых обстоятельств, которые в рамках применимого права имеют сходные последствия для указанных действий и обстоятельств,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обязан не позднее, чем через 30 (тридцать) банковских дней с момента наступления соответствующего события представить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1F10AD">
        <w:rPr>
          <w:rFonts w:ascii="Times New Roman" w:hAnsi="Times New Roman"/>
          <w:bCs/>
          <w:sz w:val="24"/>
          <w:szCs w:val="24"/>
        </w:rPr>
        <w:t xml:space="preserve"> новую соответствующую Банковскую гарантию</w:t>
      </w:r>
      <w:r>
        <w:rPr>
          <w:rFonts w:ascii="Times New Roman" w:hAnsi="Times New Roman"/>
          <w:bCs/>
          <w:sz w:val="24"/>
          <w:szCs w:val="24"/>
        </w:rPr>
        <w:t>. П</w:t>
      </w:r>
      <w:r w:rsidRPr="001F10AD">
        <w:rPr>
          <w:rFonts w:ascii="Times New Roman" w:hAnsi="Times New Roman"/>
          <w:bCs/>
          <w:sz w:val="24"/>
          <w:szCs w:val="24"/>
        </w:rPr>
        <w:t>ри этом</w:t>
      </w:r>
      <w:r>
        <w:rPr>
          <w:rFonts w:ascii="Times New Roman" w:hAnsi="Times New Roman"/>
          <w:bCs/>
          <w:sz w:val="24"/>
          <w:szCs w:val="24"/>
        </w:rPr>
        <w:t>,</w:t>
      </w:r>
      <w:r w:rsidRPr="001F1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Покупатель</w:t>
      </w:r>
      <w:r w:rsidRPr="001F10AD">
        <w:rPr>
          <w:rFonts w:ascii="Times New Roman" w:hAnsi="Times New Roman"/>
          <w:bCs/>
          <w:sz w:val="24"/>
          <w:szCs w:val="24"/>
        </w:rPr>
        <w:t xml:space="preserve"> имеет право приостановить все без исключения платежи </w:t>
      </w:r>
      <w:r>
        <w:rPr>
          <w:rFonts w:ascii="Times New Roman" w:hAnsi="Times New Roman"/>
          <w:bCs/>
          <w:sz w:val="24"/>
          <w:szCs w:val="24"/>
        </w:rPr>
        <w:t>Поставщику</w:t>
      </w:r>
      <w:r w:rsidRPr="001F10AD">
        <w:rPr>
          <w:rFonts w:ascii="Times New Roman" w:hAnsi="Times New Roman"/>
          <w:bCs/>
          <w:sz w:val="24"/>
          <w:szCs w:val="24"/>
        </w:rPr>
        <w:t xml:space="preserve"> до тех пор, пока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 не предоставит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1F10AD">
        <w:rPr>
          <w:rFonts w:ascii="Times New Roman" w:hAnsi="Times New Roman"/>
          <w:bCs/>
          <w:sz w:val="24"/>
          <w:szCs w:val="24"/>
        </w:rPr>
        <w:t xml:space="preserve"> такую новую Банковскую гарантию.</w:t>
      </w:r>
    </w:p>
    <w:p w14:paraId="51AD79A1" w14:textId="77777777" w:rsidR="00DC1F55" w:rsidRDefault="00DC1F55" w:rsidP="00DC1F55">
      <w:pPr>
        <w:pStyle w:val="a3"/>
        <w:tabs>
          <w:tab w:val="left" w:pos="-7371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14:paraId="071FF5DA" w14:textId="77777777" w:rsidR="00DC1F55" w:rsidRPr="001F10AD" w:rsidRDefault="00DC1F55" w:rsidP="00DC1F55">
      <w:pPr>
        <w:pStyle w:val="a3"/>
        <w:numPr>
          <w:ilvl w:val="0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10AD">
        <w:rPr>
          <w:rFonts w:ascii="Times New Roman" w:hAnsi="Times New Roman"/>
          <w:b/>
          <w:bCs/>
          <w:sz w:val="24"/>
          <w:szCs w:val="24"/>
        </w:rPr>
        <w:t xml:space="preserve">Банковская гарантия возврата аванса. </w:t>
      </w:r>
    </w:p>
    <w:p w14:paraId="70274FEF" w14:textId="7BB28D6B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FD6765">
        <w:rPr>
          <w:rFonts w:ascii="Times New Roman" w:hAnsi="Times New Roman"/>
          <w:bCs/>
          <w:sz w:val="24"/>
          <w:szCs w:val="24"/>
        </w:rPr>
        <w:t>В случае если условиями оплаты предусмотрено авансирование, оплата авансового платежа производится при условии предоставления Поставщиком безотзывной Банковской гарантии возврата авансового платежа, предусмотренной пунктом 2.</w:t>
      </w:r>
      <w:r w:rsidR="00666A6B">
        <w:rPr>
          <w:rFonts w:ascii="Times New Roman" w:hAnsi="Times New Roman"/>
          <w:bCs/>
          <w:sz w:val="24"/>
          <w:szCs w:val="24"/>
        </w:rPr>
        <w:t>7</w:t>
      </w:r>
      <w:r w:rsidRPr="00FD6765">
        <w:rPr>
          <w:rFonts w:ascii="Times New Roman" w:hAnsi="Times New Roman"/>
          <w:bCs/>
          <w:sz w:val="24"/>
          <w:szCs w:val="24"/>
        </w:rPr>
        <w:t>.  настоящего Договора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F327651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Проект Банковской гарантии возврата аванса должен быть предоставлен </w:t>
      </w:r>
      <w:r>
        <w:rPr>
          <w:rFonts w:ascii="Times New Roman" w:hAnsi="Times New Roman"/>
          <w:bCs/>
          <w:sz w:val="24"/>
          <w:szCs w:val="24"/>
        </w:rPr>
        <w:t>Поставщиком</w:t>
      </w:r>
      <w:r w:rsidRPr="001F10AD">
        <w:rPr>
          <w:rFonts w:ascii="Times New Roman" w:hAnsi="Times New Roman"/>
          <w:bCs/>
          <w:sz w:val="24"/>
          <w:szCs w:val="24"/>
        </w:rPr>
        <w:t xml:space="preserve"> на согласование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1F10AD">
        <w:rPr>
          <w:rFonts w:ascii="Times New Roman" w:hAnsi="Times New Roman"/>
          <w:bCs/>
          <w:sz w:val="24"/>
          <w:szCs w:val="24"/>
        </w:rPr>
        <w:t xml:space="preserve"> в течение 15 (пятнадцати) дней с момента подписания </w:t>
      </w:r>
      <w:r>
        <w:rPr>
          <w:rFonts w:ascii="Times New Roman" w:hAnsi="Times New Roman"/>
          <w:bCs/>
          <w:sz w:val="24"/>
          <w:szCs w:val="24"/>
        </w:rPr>
        <w:t>настоящего Д</w:t>
      </w:r>
      <w:r w:rsidRPr="001F10AD">
        <w:rPr>
          <w:rFonts w:ascii="Times New Roman" w:hAnsi="Times New Roman"/>
          <w:bCs/>
          <w:sz w:val="24"/>
          <w:szCs w:val="24"/>
        </w:rPr>
        <w:t>оговора, в течение которых П</w:t>
      </w:r>
      <w:r>
        <w:rPr>
          <w:rFonts w:ascii="Times New Roman" w:hAnsi="Times New Roman"/>
          <w:bCs/>
          <w:sz w:val="24"/>
          <w:szCs w:val="24"/>
        </w:rPr>
        <w:t>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обязан согласовать с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1F10AD">
        <w:rPr>
          <w:rFonts w:ascii="Times New Roman" w:hAnsi="Times New Roman"/>
          <w:bCs/>
          <w:sz w:val="24"/>
          <w:szCs w:val="24"/>
        </w:rPr>
        <w:t xml:space="preserve"> выбор Гаранта.</w:t>
      </w:r>
    </w:p>
    <w:p w14:paraId="3DF1C9E2" w14:textId="77777777" w:rsidR="00DC1F55" w:rsidRPr="00414578" w:rsidRDefault="00DC1F55" w:rsidP="00DC1F55">
      <w:pPr>
        <w:tabs>
          <w:tab w:val="left" w:pos="-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Покупатель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согласовывает Проект Банковской гарантии возврата аванса, предоставленный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Поставщиком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>, в течение 15 (пятнадцати) дней с момента получения.</w:t>
      </w:r>
    </w:p>
    <w:p w14:paraId="7FDAAF60" w14:textId="77777777" w:rsidR="00DC1F55" w:rsidRPr="00414578" w:rsidRDefault="00DC1F55" w:rsidP="00DC1F55">
      <w:pPr>
        <w:tabs>
          <w:tab w:val="left" w:pos="-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Банковская гарантия возврата аванса должна быть составлена по форме Приложения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7.1 к настоящему Д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оговору, отступление от данной формы Банковской гарантии допускается только с предварительного письменного согласия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0386F2A2" w14:textId="77777777" w:rsidR="00DC1F55" w:rsidRPr="00414578" w:rsidRDefault="00DC1F55" w:rsidP="00DC1F55">
      <w:pPr>
        <w:tabs>
          <w:tab w:val="left" w:pos="-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Оригинал Банковской гарантии возврата аванса должен быть предоставлен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Поставщиком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Покупателю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10 (десяти) дней после согласования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Покупателем</w:t>
      </w:r>
      <w:r w:rsidRPr="004145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соответствующей Банковской гарантии возврата аванса. </w:t>
      </w:r>
    </w:p>
    <w:p w14:paraId="6B16F4F6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4578"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</w:t>
      </w:r>
      <w:r>
        <w:rPr>
          <w:rFonts w:ascii="Times New Roman" w:eastAsia="Calibri" w:hAnsi="Times New Roman"/>
          <w:sz w:val="24"/>
          <w:szCs w:val="24"/>
          <w:lang w:eastAsia="en-US"/>
        </w:rPr>
        <w:t>Покупателем</w:t>
      </w:r>
      <w:r w:rsidRPr="00414578">
        <w:rPr>
          <w:rFonts w:ascii="Times New Roman" w:eastAsia="Calibri" w:hAnsi="Times New Roman"/>
          <w:sz w:val="24"/>
          <w:szCs w:val="24"/>
          <w:lang w:eastAsia="en-US"/>
        </w:rPr>
        <w:t xml:space="preserve"> непосредственно от банка-гаранта должен быть получен оригинал документа, подтверждающий выдачу банком банковской гарантии, указанной в предыдущем абзаце настоящего пункта.</w:t>
      </w:r>
    </w:p>
    <w:p w14:paraId="6AC05F7A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В случае непредставления Проекта или </w:t>
      </w:r>
      <w:r w:rsidRPr="00EA0186">
        <w:rPr>
          <w:rFonts w:ascii="Times New Roman" w:hAnsi="Times New Roman"/>
          <w:bCs/>
          <w:sz w:val="24"/>
          <w:szCs w:val="24"/>
        </w:rPr>
        <w:t>оригинала Банковской гарантии возврата аванса в срок, указанный в п.2.2 настоящего Приложения, Поставщик не вправе задерживать сроки поставки Товара в случае переноса срока выплаты Авансового платежа. В этом случае ответственность за соблюдение сроков поставки Товара несет 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. </w:t>
      </w:r>
    </w:p>
    <w:p w14:paraId="711BAA8D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Сумма Банковской гарантии возврата аванса должна быть равной сумме Авансового платежа, возврат которого обеспечивает данная Банковская гарантия. </w:t>
      </w:r>
    </w:p>
    <w:p w14:paraId="4D6ADE41" w14:textId="77777777" w:rsidR="00DC1F55" w:rsidRPr="00414578" w:rsidRDefault="00DC1F55" w:rsidP="00DC1F55">
      <w:pPr>
        <w:pStyle w:val="a3"/>
        <w:tabs>
          <w:tab w:val="left" w:pos="-737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14578">
        <w:rPr>
          <w:rFonts w:ascii="Times New Roman" w:hAnsi="Times New Roman"/>
          <w:sz w:val="24"/>
          <w:szCs w:val="24"/>
        </w:rPr>
        <w:t xml:space="preserve">При этом сумма Банковской гарантии возврата аванса в любой момент должна быть не менее суммы непогашенного Авансового платежа по Договору. </w:t>
      </w:r>
    </w:p>
    <w:p w14:paraId="17DD4758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>В Банковской гарантии возврата аванса должно быть предусмотрено, что перечисление Авансового платежа, в обеспечение которого выдается соответствующая Банковская гарантия возврата аванса, производится на отдельный банковский счет, открытый по условиям настоящего Договора.</w:t>
      </w:r>
    </w:p>
    <w:p w14:paraId="1F06CBBE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Срок действия Банковской гарантии возврата аванса должен начинаться до планируемой даты перечисления соответствующего Авансового платежа и заканчиваться не ранее 45 (Сорока пяти) дней после планируемой даты </w:t>
      </w:r>
      <w:r>
        <w:rPr>
          <w:rFonts w:ascii="Times New Roman" w:hAnsi="Times New Roman"/>
          <w:bCs/>
          <w:sz w:val="24"/>
          <w:szCs w:val="24"/>
        </w:rPr>
        <w:t>поставки по Договору</w:t>
      </w:r>
      <w:r w:rsidRPr="001F10AD">
        <w:rPr>
          <w:rFonts w:ascii="Times New Roman" w:hAnsi="Times New Roman"/>
          <w:bCs/>
          <w:sz w:val="24"/>
          <w:szCs w:val="24"/>
        </w:rPr>
        <w:t>.</w:t>
      </w:r>
    </w:p>
    <w:p w14:paraId="62C30A85" w14:textId="77777777" w:rsidR="00DC1F55" w:rsidRPr="001F10AD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В Банковской гарантии возврата аванса должно быть предусмотрено безусловное право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 (Бенефициара) на истребование суммы Банковской гарантии полностью или частично в случае неисполнения </w:t>
      </w:r>
      <w:r>
        <w:rPr>
          <w:rFonts w:ascii="Times New Roman" w:hAnsi="Times New Roman"/>
          <w:bCs/>
          <w:sz w:val="24"/>
          <w:szCs w:val="24"/>
        </w:rPr>
        <w:t>Поставщиком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обязательства по возврату соответствующего Авансового платежа. К письменному требованию </w:t>
      </w:r>
      <w:r>
        <w:rPr>
          <w:rFonts w:ascii="Times New Roman" w:hAnsi="Times New Roman"/>
          <w:bCs/>
          <w:sz w:val="24"/>
          <w:szCs w:val="24"/>
        </w:rPr>
        <w:t>Покупателя</w:t>
      </w:r>
      <w:r w:rsidRPr="001F10AD">
        <w:rPr>
          <w:rFonts w:ascii="Times New Roman" w:hAnsi="Times New Roman"/>
          <w:bCs/>
          <w:sz w:val="24"/>
          <w:szCs w:val="24"/>
        </w:rPr>
        <w:t xml:space="preserve"> Гаранту об уплате суммы по Банковской гарантии предоставляются заверенные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1F10AD">
        <w:rPr>
          <w:rFonts w:ascii="Times New Roman" w:hAnsi="Times New Roman"/>
          <w:bCs/>
          <w:sz w:val="24"/>
          <w:szCs w:val="24"/>
        </w:rPr>
        <w:t xml:space="preserve"> копии документов, подтверждающих выплату </w:t>
      </w:r>
      <w:r>
        <w:rPr>
          <w:rFonts w:ascii="Times New Roman" w:hAnsi="Times New Roman"/>
          <w:bCs/>
          <w:sz w:val="24"/>
          <w:szCs w:val="24"/>
        </w:rPr>
        <w:t>Поставщику</w:t>
      </w:r>
      <w:r w:rsidRPr="001F10AD">
        <w:rPr>
          <w:rFonts w:ascii="Times New Roman" w:hAnsi="Times New Roman"/>
          <w:bCs/>
          <w:sz w:val="24"/>
          <w:szCs w:val="24"/>
        </w:rPr>
        <w:t xml:space="preserve"> соответствующего Ав</w:t>
      </w:r>
      <w:r>
        <w:rPr>
          <w:rFonts w:ascii="Times New Roman" w:hAnsi="Times New Roman"/>
          <w:bCs/>
          <w:sz w:val="24"/>
          <w:szCs w:val="24"/>
        </w:rPr>
        <w:t>ансового платежа по настоящему Д</w:t>
      </w:r>
      <w:r w:rsidRPr="001F10AD">
        <w:rPr>
          <w:rFonts w:ascii="Times New Roman" w:hAnsi="Times New Roman"/>
          <w:bCs/>
          <w:sz w:val="24"/>
          <w:szCs w:val="24"/>
        </w:rPr>
        <w:t>оговору.</w:t>
      </w:r>
    </w:p>
    <w:p w14:paraId="6F7769A1" w14:textId="77777777" w:rsidR="00DC1F55" w:rsidRPr="00414578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В случае если на дату, наступающую за 28 (Двадцать восемь) календарных дней до истечения срока Банковской гарантии возврата аванса, Авансовый платеж, в обеспечение которого выдана такая Банковская гарантия, не погашен,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обязуется продлить действие Банковской гарантии возврата аванса и представить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1F10AD">
        <w:rPr>
          <w:rFonts w:ascii="Times New Roman" w:hAnsi="Times New Roman"/>
          <w:bCs/>
          <w:sz w:val="24"/>
          <w:szCs w:val="24"/>
        </w:rPr>
        <w:t xml:space="preserve"> доказательство такого продления (новую Банковскую гарантию) не позднее, чем за 14 (Четырнадцать) дней до истечения срока соответствующей Банковской гарантии возврата аванса. В случае неисполнения обязанности </w:t>
      </w:r>
      <w:r>
        <w:rPr>
          <w:rFonts w:ascii="Times New Roman" w:hAnsi="Times New Roman"/>
          <w:bCs/>
          <w:sz w:val="24"/>
          <w:szCs w:val="24"/>
        </w:rPr>
        <w:t>Поставщика</w:t>
      </w:r>
      <w:r w:rsidRPr="001F10AD">
        <w:rPr>
          <w:rFonts w:ascii="Times New Roman" w:hAnsi="Times New Roman"/>
          <w:bCs/>
          <w:sz w:val="24"/>
          <w:szCs w:val="24"/>
        </w:rPr>
        <w:t xml:space="preserve">, предусмотренной настоящим пунктом, </w:t>
      </w:r>
      <w:r>
        <w:rPr>
          <w:rFonts w:ascii="Times New Roman" w:hAnsi="Times New Roman"/>
          <w:bCs/>
          <w:sz w:val="24"/>
          <w:szCs w:val="24"/>
        </w:rPr>
        <w:t>Поставщик</w:t>
      </w:r>
      <w:r w:rsidRPr="001F10AD">
        <w:rPr>
          <w:rFonts w:ascii="Times New Roman" w:hAnsi="Times New Roman"/>
          <w:bCs/>
          <w:sz w:val="24"/>
          <w:szCs w:val="24"/>
        </w:rPr>
        <w:t xml:space="preserve"> обязуется уплатить </w:t>
      </w:r>
      <w:r>
        <w:rPr>
          <w:rFonts w:ascii="Times New Roman" w:hAnsi="Times New Roman"/>
          <w:bCs/>
          <w:sz w:val="24"/>
          <w:szCs w:val="24"/>
        </w:rPr>
        <w:t>Покупателю</w:t>
      </w:r>
      <w:r w:rsidRPr="001F10AD">
        <w:rPr>
          <w:rFonts w:ascii="Times New Roman" w:hAnsi="Times New Roman"/>
          <w:bCs/>
          <w:sz w:val="24"/>
          <w:szCs w:val="24"/>
        </w:rPr>
        <w:t xml:space="preserve"> штраф в размере 10% (десяти процентов) от суммы Банковской гарантии. Уплата штрафа не освобождает </w:t>
      </w:r>
      <w:r>
        <w:rPr>
          <w:rFonts w:ascii="Times New Roman" w:hAnsi="Times New Roman"/>
          <w:bCs/>
          <w:sz w:val="24"/>
          <w:szCs w:val="24"/>
        </w:rPr>
        <w:t>Поставщика</w:t>
      </w:r>
      <w:r w:rsidRPr="001F10AD">
        <w:rPr>
          <w:rFonts w:ascii="Times New Roman" w:hAnsi="Times New Roman"/>
          <w:bCs/>
          <w:sz w:val="24"/>
          <w:szCs w:val="24"/>
        </w:rPr>
        <w:t xml:space="preserve"> от обязанности продления действия Банковской гарантии возврата аванса.</w:t>
      </w:r>
    </w:p>
    <w:p w14:paraId="531C331C" w14:textId="77777777" w:rsidR="00DC1F55" w:rsidRPr="00414578" w:rsidRDefault="00DC1F55" w:rsidP="00DC1F55">
      <w:pPr>
        <w:pStyle w:val="a3"/>
        <w:numPr>
          <w:ilvl w:val="1"/>
          <w:numId w:val="3"/>
        </w:numPr>
        <w:tabs>
          <w:tab w:val="left" w:pos="-737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F10AD">
        <w:rPr>
          <w:rFonts w:ascii="Times New Roman" w:hAnsi="Times New Roman"/>
          <w:bCs/>
          <w:sz w:val="24"/>
          <w:szCs w:val="24"/>
        </w:rPr>
        <w:t xml:space="preserve">Уплата </w:t>
      </w:r>
      <w:r>
        <w:rPr>
          <w:rFonts w:ascii="Times New Roman" w:hAnsi="Times New Roman"/>
          <w:bCs/>
          <w:sz w:val="24"/>
          <w:szCs w:val="24"/>
        </w:rPr>
        <w:t>Покупателем</w:t>
      </w:r>
      <w:r w:rsidRPr="001F10AD">
        <w:rPr>
          <w:rFonts w:ascii="Times New Roman" w:hAnsi="Times New Roman"/>
          <w:bCs/>
          <w:sz w:val="24"/>
          <w:szCs w:val="24"/>
        </w:rPr>
        <w:t xml:space="preserve"> Авансового платежа производится только после проверки действительности Банковской гарантии возврата аванса, обеспечивающей возврат Авансового платежа.</w:t>
      </w:r>
    </w:p>
    <w:tbl>
      <w:tblPr>
        <w:tblpPr w:leftFromText="180" w:rightFromText="180" w:vertAnchor="text" w:horzAnchor="margin" w:tblpXSpec="center" w:tblpY="375"/>
        <w:tblW w:w="118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44"/>
        <w:gridCol w:w="5944"/>
      </w:tblGrid>
      <w:tr w:rsidR="00C6094E" w:rsidRPr="008B31E2" w14:paraId="21215039" w14:textId="77777777" w:rsidTr="00C6094E">
        <w:trPr>
          <w:trHeight w:val="109"/>
        </w:trPr>
        <w:tc>
          <w:tcPr>
            <w:tcW w:w="5944" w:type="dxa"/>
          </w:tcPr>
          <w:p w14:paraId="7BE1891E" w14:textId="77777777" w:rsidR="00C6094E" w:rsidRPr="009C0185" w:rsidRDefault="00C6094E" w:rsidP="00C609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563CD6" w14:textId="77777777" w:rsidR="00C6094E" w:rsidRPr="009C0185" w:rsidRDefault="00C6094E" w:rsidP="00C609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1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Покупателя _____________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 И.М. Ноур</w:t>
            </w:r>
          </w:p>
        </w:tc>
        <w:tc>
          <w:tcPr>
            <w:tcW w:w="5944" w:type="dxa"/>
          </w:tcPr>
          <w:p w14:paraId="056897D1" w14:textId="77777777" w:rsidR="00C6094E" w:rsidRDefault="00C6094E" w:rsidP="00C609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894D7A3" w14:textId="33EE5891" w:rsidR="00C6094E" w:rsidRPr="009C0185" w:rsidRDefault="00C6094E" w:rsidP="00C609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1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Поставщика ______________</w:t>
            </w:r>
          </w:p>
        </w:tc>
      </w:tr>
    </w:tbl>
    <w:p w14:paraId="160F638A" w14:textId="77777777" w:rsidR="00DC1F55" w:rsidRDefault="00DC1F55" w:rsidP="00DC1F55"/>
    <w:p w14:paraId="676A6DE3" w14:textId="77777777" w:rsidR="00666763" w:rsidRDefault="00666763"/>
    <w:sectPr w:rsidR="00666763" w:rsidSect="00E87E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BE7"/>
    <w:multiLevelType w:val="hybridMultilevel"/>
    <w:tmpl w:val="E6F2985C"/>
    <w:lvl w:ilvl="0" w:tplc="56102F2A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2BF511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000000"/>
      </w:rPr>
    </w:lvl>
  </w:abstractNum>
  <w:abstractNum w:abstractNumId="2" w15:restartNumberingAfterBreak="0">
    <w:nsid w:val="5D886AB9"/>
    <w:multiLevelType w:val="hybridMultilevel"/>
    <w:tmpl w:val="353CBB3C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46"/>
    <w:rsid w:val="000B7378"/>
    <w:rsid w:val="00102A46"/>
    <w:rsid w:val="00666763"/>
    <w:rsid w:val="00666A6B"/>
    <w:rsid w:val="006C67ED"/>
    <w:rsid w:val="00843C7F"/>
    <w:rsid w:val="009C0185"/>
    <w:rsid w:val="00A41295"/>
    <w:rsid w:val="00C6094E"/>
    <w:rsid w:val="00DC1F55"/>
    <w:rsid w:val="00ED1E25"/>
    <w:rsid w:val="00E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C44F"/>
  <w15:chartTrackingRefBased/>
  <w15:docId w15:val="{D11950BA-55DA-4EFD-B7E1-BC248A3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,Ненумерованный список"/>
    <w:basedOn w:val="a"/>
    <w:link w:val="a4"/>
    <w:uiPriority w:val="99"/>
    <w:qFormat/>
    <w:rsid w:val="00DC1F55"/>
    <w:pPr>
      <w:ind w:left="720"/>
    </w:pPr>
    <w:rPr>
      <w:rFonts w:eastAsia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DC1F55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a4">
    <w:name w:val="Абзац списка Знак"/>
    <w:aliases w:val="Bullet_IRAO Знак,List Paragraph Знак,Ненумерованный список Знак"/>
    <w:link w:val="a3"/>
    <w:uiPriority w:val="99"/>
    <w:locked/>
    <w:rsid w:val="00DC1F55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Витальевич Бардаков</dc:creator>
  <cp:keywords/>
  <dc:description/>
  <cp:lastModifiedBy>Кристина Андреевна Калинина</cp:lastModifiedBy>
  <cp:revision>10</cp:revision>
  <cp:lastPrinted>2023-02-28T04:55:00Z</cp:lastPrinted>
  <dcterms:created xsi:type="dcterms:W3CDTF">2022-08-14T23:07:00Z</dcterms:created>
  <dcterms:modified xsi:type="dcterms:W3CDTF">2024-08-09T05:48:00Z</dcterms:modified>
</cp:coreProperties>
</file>