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spacing w:before="3360" w:after="600"/>
        <w:ind w:hanging="0"/>
        <w:jc w:val="center"/>
        <w:rPr/>
      </w:pPr>
      <w:bookmarkStart w:id="0" w:name="_GoBack"/>
      <w:bookmarkEnd w:id="0"/>
      <w:r>
        <w:rPr/>
        <w:t xml:space="preserve">Блок 8. Порядок проведения выездной проверки (аудита) 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47" w:right="1021" w:gutter="0" w:header="737" w:top="79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(блок 8 из 9)</w:t>
      </w:r>
    </w:p>
    <w:p>
      <w:pPr>
        <w:pStyle w:val="-1"/>
        <w:jc w:val="center"/>
        <w:rPr/>
      </w:pPr>
      <w:bookmarkStart w:id="1" w:name="_Toc536112832"/>
      <w:r>
        <w:rPr/>
        <w:t>Порядок проведения выездной проверки (аудита)</w:t>
      </w:r>
      <w:bookmarkEnd w:id="1"/>
    </w:p>
    <w:p>
      <w:pPr>
        <w:pStyle w:val="Heading2"/>
        <w:pageBreakBefore w:val="false"/>
        <w:numPr>
          <w:ilvl w:val="0"/>
          <w:numId w:val="0"/>
        </w:numPr>
        <w:ind w:hanging="0" w:left="0"/>
        <w:jc w:val="both"/>
        <w:rPr/>
      </w:pPr>
      <w:r>
        <w:rPr/>
        <w:t>Инструкция проведения проверки (аудита) Поставщика/Участника закупки на соответствие требованиям в области ПБОТОС</w:t>
      </w:r>
    </w:p>
    <w:p>
      <w:pPr>
        <w:pStyle w:val="Normal"/>
        <w:tabs>
          <w:tab w:val="clear" w:pos="1134"/>
        </w:tabs>
        <w:ind w:hanging="709" w:left="709"/>
        <w:rPr>
          <w:sz w:val="28"/>
        </w:rPr>
      </w:pPr>
      <w:r>
        <w:rPr>
          <w:sz w:val="28"/>
        </w:rPr>
        <w:t>1.</w:t>
        <w:tab/>
      </w:r>
      <w:r>
        <w:rPr/>
        <w:t>Проверка Участников закупки/квалификации может осуществляться в два этапа</w:t>
      </w:r>
      <w:r>
        <w:rPr>
          <w:rStyle w:val="FootnoteReference"/>
          <w:sz w:val="22"/>
        </w:rPr>
        <w:footnoteReference w:id="2"/>
      </w:r>
      <w:r>
        <w:rPr>
          <w:sz w:val="28"/>
        </w:rPr>
        <w:t xml:space="preserve">. </w:t>
      </w:r>
    </w:p>
    <w:p>
      <w:pPr>
        <w:pStyle w:val="111111"/>
        <w:ind w:hanging="0" w:left="709"/>
        <w:rPr>
          <w:sz w:val="24"/>
        </w:rPr>
      </w:pPr>
      <w:r>
        <w:rPr>
          <w:sz w:val="24"/>
        </w:rPr>
        <w:t>Первый этап (обязательный): камеральная проверка, которая проводится в виде рассмотрения предоставленных Участником закупки/квалификации в составе заявки документов/сведений, подтверждающих его соответствие установленным требованиям к квалификации в области ПБОТОС.</w:t>
      </w:r>
    </w:p>
    <w:p>
      <w:pPr>
        <w:pStyle w:val="111111"/>
        <w:ind w:hanging="0" w:left="709"/>
        <w:rPr>
          <w:sz w:val="24"/>
        </w:rPr>
      </w:pPr>
      <w:r>
        <w:rPr>
          <w:sz w:val="24"/>
        </w:rPr>
        <w:t>Второй этап (опциональный): выездная проверка (технический аудит) достоверности представленных Участником закупки/квалификации в составе заявки документов/сведений, подтверждающих его соответствие установленным требованиям к квалификации в области ПБОТОС.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>2.</w:t>
        <w:tab/>
        <w:t>При рассмотрении представленных Участником закупки/квалификации документов/сведений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 xml:space="preserve">3. </w:t>
        <w:tab/>
        <w:t>При формировании заключения о соответствии/несоответствии Участника закупки квалификационным требованиям отбора в области ПБОТОС соблюдаются следующие принципы:</w:t>
      </w:r>
    </w:p>
    <w:p>
      <w:pPr>
        <w:pStyle w:val="111111"/>
        <w:ind w:hanging="0" w:left="709"/>
        <w:rPr>
          <w:sz w:val="24"/>
        </w:rPr>
      </w:pPr>
      <w:r>
        <w:rPr>
          <w:sz w:val="24"/>
        </w:rPr>
        <w:t>Соответствует - Участник закупки/квалификации удовлетворяет всем требованиям.</w:t>
      </w:r>
    </w:p>
    <w:p>
      <w:pPr>
        <w:pStyle w:val="111111"/>
        <w:ind w:hanging="0" w:left="709"/>
        <w:rPr>
          <w:sz w:val="24"/>
        </w:rPr>
      </w:pPr>
      <w:r>
        <w:rPr>
          <w:sz w:val="24"/>
        </w:rPr>
        <w:t>Не соответствует – Участник закупки/квалификации получил хотя бы одно значение «нет» по требованиям.</w:t>
      </w:r>
    </w:p>
    <w:p>
      <w:pPr>
        <w:pStyle w:val="111111"/>
        <w:ind w:hanging="0" w:left="709"/>
        <w:rPr>
          <w:sz w:val="24"/>
        </w:rPr>
      </w:pPr>
      <w:r>
        <w:rPr>
          <w:sz w:val="24"/>
        </w:rPr>
        <w:t>При несоответствии Участника закупки/квалификации требованиям к квалификации в области ПБОТОС по результатам первого этапа принимается решение об отказе в допуске данного Участника к дальнейшему участию в процедуре закупки/квалификации. В отношении такого Участника закупки/квалификации второй этап (выездная проверка) не проводится.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 xml:space="preserve">4. </w:t>
        <w:tab/>
        <w:t>В отношении Участников закупки/квалификации,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 второй этап проверки.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 xml:space="preserve">4.1. </w:t>
        <w:tab/>
        <w:t>Второй этап – выездная проверка (технический аудит). Проводится непосредственно на месте основного базирования Участника закупки/квалификации по ПБОТОС, включая административно-бытовые здания, объекты, сооружения, морские суда и др.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 xml:space="preserve">4.2. </w:t>
        <w:tab/>
        <w:t>Участник закупки/квалификации предварительно информируется о проведении выездной проверки (технического аудита) в срок не менее чем за 5 (пять) рабочих дня до ее проведения. Если в течение 3 (трех) рабочих дней от Участника закупки/квалификации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Участника закупки/квалификации. Выездную проверку (технический аудит) проводит Группа аудита Заказчика/Организатора закупки с участием представителя Участника закупки/квалификации.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>4.3.</w:t>
        <w:tab/>
        <w:t>В рамках выездной проверки Группа аудита проводит проверку соответствия и достоверности документов/сведений о состоянии ПБОТОС, предоставленных Участником закупки/квалификации в составе квалификационной части заявки для подтверждения соответствия установленным требованиям, и формирует заключение о соответствии/несоответствии данного Участника установленным требованиям к квалификации в области ПБОТОС.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>4.4.</w:t>
        <w:tab/>
        <w:t>По результатам выездной проверки формируется Акт-заключение по установленной форме (Приложение 1 к настоящей инструкции). Акт-заключение оформляется в 2-х экземплярах, один экземпляр для Заказчика, второй для Участника закупки/квалификации.</w:t>
      </w:r>
    </w:p>
    <w:p>
      <w:pPr>
        <w:pStyle w:val="Normal"/>
        <w:tabs>
          <w:tab w:val="clear" w:pos="1134"/>
        </w:tabs>
        <w:ind w:hanging="709" w:left="709"/>
        <w:rPr/>
      </w:pPr>
      <w:r>
        <w:rPr/>
        <w:t>4.5.</w:t>
        <w:tab/>
        <w:t>Акт-заключение подписывается руководителем Группы аудита, уполномоченным представителем Участника закупки/квалификации непосредственно после окончания выездной проверки. В случае несогласия с итогами выездной проверки, уполномоченный представитель Участника закупки/квалификации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закупки/квалификации (в том числе с особым мнением) является основанием отказа такому Участнику в дальнейшем участии в закупке/квалификации.</w:t>
      </w:r>
    </w:p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w="11906" w:h="16838"/>
          <w:pgMar w:left="1247" w:right="1021" w:gutter="0" w:header="737" w:top="79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1134"/>
        </w:tabs>
        <w:ind w:hanging="709" w:left="709"/>
        <w:rPr/>
      </w:pPr>
      <w:r>
        <w:rPr/>
        <w:t>4.6.</w:t>
        <w:tab/>
        <w:t>По результатам первого и второго этапов проверки Заказчиком/Организатором закупки принимается решение о допуске/недопуске Участников закупки/квалификации по требованиям к квалификации в области ПБОТОС.</w:t>
      </w:r>
      <w:r>
        <w:br w:type="page"/>
      </w:r>
    </w:p>
    <w:p>
      <w:pPr>
        <w:pStyle w:val="Heading2"/>
        <w:pageBreakBefore w:val="false"/>
        <w:numPr>
          <w:ilvl w:val="0"/>
          <w:numId w:val="0"/>
        </w:numPr>
        <w:spacing w:before="0" w:after="0"/>
        <w:ind w:hanging="0" w:left="0"/>
        <w:jc w:val="both"/>
        <w:rPr/>
      </w:pPr>
      <w:bookmarkStart w:id="2" w:name="_Toc498509985"/>
      <w:bookmarkStart w:id="3" w:name="_Toc496544601"/>
      <w:bookmarkStart w:id="4" w:name="_Toc532207214"/>
      <w:bookmarkStart w:id="5" w:name="_Toc498509986"/>
      <w:bookmarkStart w:id="6" w:name="_Toc496544602"/>
      <w:r>
        <w:rPr>
          <w:rStyle w:val="Style12"/>
          <w:b w:val="false"/>
          <w:bCs/>
          <w:shd w:fill="E5E5E5" w:val="clear"/>
        </w:rPr>
        <w:t>Приложение 1 – Форма Акта-заключения о проверке (аудите) Участника закупки на соответствие требованиям</w:t>
      </w:r>
      <w:r>
        <w:rPr/>
        <w:t xml:space="preserve"> </w:t>
      </w:r>
      <w:bookmarkEnd w:id="5"/>
      <w:bookmarkEnd w:id="6"/>
      <w:r>
        <w:rPr/>
        <w:t>в области ПБОТОС</w:t>
      </w:r>
      <w:bookmarkEnd w:id="4"/>
    </w:p>
    <w:p>
      <w:pPr>
        <w:pStyle w:val="Normal"/>
        <w:ind w:hanging="0"/>
        <w:rPr/>
      </w:pPr>
      <w:r>
        <w:rPr/>
      </w:r>
    </w:p>
    <w:p>
      <w:pPr>
        <w:pStyle w:val="Normal"/>
        <w:spacing w:before="0" w:after="120"/>
        <w:rPr/>
      </w:pPr>
      <w:r>
        <w:rPr/>
        <w:t>В рамках проведения оценки соответствия требованиям к квалификации в области ПБОТОС [</w:t>
      </w:r>
      <w:r>
        <w:rPr>
          <w:rStyle w:val="Style12"/>
        </w:rPr>
        <w:t>наименование ОГК</w:t>
      </w:r>
      <w:r>
        <w:rPr/>
        <w:t xml:space="preserve">] проведена выездная проверка (технический аудит) фактического соответствия Участника </w:t>
      </w:r>
      <w:r>
        <w:rPr>
          <w:color w:val="000000"/>
        </w:rPr>
        <w:t>квалификации по видам продукции/закупочных процедур</w:t>
      </w:r>
      <w:r>
        <w:rPr/>
        <w:t xml:space="preserve"> способом конкурс по следующему виду работ/услуг: оказание услуг грузовым автотранспортом.</w:t>
      </w:r>
    </w:p>
    <w:p>
      <w:pPr>
        <w:pStyle w:val="Normal"/>
        <w:tabs>
          <w:tab w:val="left" w:pos="1134" w:leader="none"/>
          <w:tab w:val="right" w:pos="6804" w:leader="none"/>
        </w:tabs>
        <w:ind w:firstLine="567" w:left="284"/>
        <w:rPr>
          <w:szCs w:val="24"/>
          <w:u w:val="single"/>
        </w:rPr>
      </w:pPr>
      <w:r>
        <w:rPr>
          <w:szCs w:val="24"/>
        </w:rPr>
        <w:t xml:space="preserve">Даты аудита: </w:t>
      </w:r>
      <w:r>
        <w:rPr>
          <w:szCs w:val="24"/>
          <w:u w:val="single"/>
        </w:rPr>
        <w:tab/>
      </w:r>
    </w:p>
    <w:p>
      <w:pPr>
        <w:pStyle w:val="Normal"/>
        <w:tabs>
          <w:tab w:val="left" w:pos="1134" w:leader="none"/>
          <w:tab w:val="right" w:pos="6804" w:leader="none"/>
        </w:tabs>
        <w:ind w:firstLine="567" w:left="284"/>
        <w:rPr>
          <w:szCs w:val="24"/>
          <w:u w:val="single"/>
        </w:rPr>
      </w:pPr>
      <w:r>
        <w:rPr>
          <w:szCs w:val="24"/>
        </w:rPr>
        <w:t xml:space="preserve">Группа аудита в составе: </w:t>
      </w:r>
      <w:r>
        <w:rPr>
          <w:szCs w:val="24"/>
          <w:u w:val="single"/>
        </w:rPr>
        <w:tab/>
      </w:r>
    </w:p>
    <w:p>
      <w:pPr>
        <w:pStyle w:val="Normal"/>
        <w:tabs>
          <w:tab w:val="left" w:pos="1134" w:leader="none"/>
          <w:tab w:val="right" w:pos="6804" w:leader="none"/>
        </w:tabs>
        <w:ind w:firstLine="567" w:left="284"/>
        <w:rPr>
          <w:szCs w:val="24"/>
          <w:u w:val="single"/>
        </w:rPr>
      </w:pPr>
      <w:r>
        <w:rPr>
          <w:szCs w:val="24"/>
        </w:rPr>
        <w:t xml:space="preserve">Представители Участника закупки: </w:t>
      </w:r>
      <w:r>
        <w:rPr>
          <w:szCs w:val="24"/>
          <w:u w:val="single"/>
        </w:rPr>
        <w:tab/>
      </w:r>
    </w:p>
    <w:p>
      <w:pPr>
        <w:pStyle w:val="Normal"/>
        <w:tabs>
          <w:tab w:val="left" w:pos="1134" w:leader="none"/>
          <w:tab w:val="right" w:pos="6804" w:leader="none"/>
        </w:tabs>
        <w:ind w:firstLine="567" w:left="284"/>
        <w:rPr>
          <w:szCs w:val="24"/>
          <w:u w:val="single"/>
        </w:rPr>
      </w:pPr>
      <w:r>
        <w:rPr>
          <w:szCs w:val="24"/>
        </w:rPr>
        <w:t>По итогам аудита выявлено</w:t>
      </w:r>
      <w:r>
        <w:rPr>
          <w:szCs w:val="24"/>
          <w:u w:val="single"/>
        </w:rPr>
        <w:t xml:space="preserve">: </w:t>
        <w:tab/>
      </w:r>
    </w:p>
    <w:tbl>
      <w:tblPr>
        <w:tblStyle w:val="ac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1547"/>
        <w:gridCol w:w="1498"/>
        <w:gridCol w:w="1989"/>
        <w:gridCol w:w="1630"/>
        <w:gridCol w:w="2408"/>
      </w:tblGrid>
      <w:tr>
        <w:trPr>
          <w:tblHeader w:val="true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 xml:space="preserve">№ </w:t>
            </w: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П/П</w:t>
            </w:r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СОДЕРЖАНИЕ ТРЕБОВАНИЯ</w:t>
            </w:r>
          </w:p>
        </w:tc>
        <w:tc>
          <w:tcPr>
            <w:tcW w:w="1989" w:type="dxa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РЕЗУЛЬТАТЫ ПРОВЕРКИ</w:t>
            </w:r>
          </w:p>
        </w:tc>
        <w:tc>
          <w:tcPr>
            <w:tcW w:w="24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D200" w:val="clear"/>
            <w:vAlign w:val="center"/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 w:left="-112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val="ru-RU" w:bidi="he-IL"/>
              </w:rPr>
              <w:t>ПРИМЕЧАНИЯ</w:t>
            </w:r>
          </w:p>
        </w:tc>
      </w:tr>
      <w:tr>
        <w:trPr/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547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498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989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630" w:type="dxa"/>
            <w:tcBorders>
              <w:top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ind w:firstLine="14" w:left="-108" w:right="-115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Соответствует/</w:t>
              <w:br/>
              <w:t>Не соответствует</w:t>
            </w:r>
          </w:p>
        </w:tc>
        <w:tc>
          <w:tcPr>
            <w:tcW w:w="240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В случае несоответствия необходимо указать причины несоответствия, статус по результатам запроса недостающих документов или разъяснения предоставленных документов.</w:t>
            </w:r>
          </w:p>
          <w:p>
            <w:pPr>
              <w:pStyle w:val="Normal"/>
              <w:widowControl/>
              <w:tabs>
                <w:tab w:val="clear" w:pos="1134"/>
              </w:tabs>
              <w:spacing w:before="0" w:after="0"/>
              <w:ind w:hanging="0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he-IL"/>
              </w:rPr>
              <w:t>Не допускается отклонение участника закупки по формальным признакам.</w:t>
            </w:r>
          </w:p>
        </w:tc>
      </w:tr>
      <w:tr>
        <w:trPr/>
        <w:tc>
          <w:tcPr>
            <w:tcW w:w="5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49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989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  <w:tc>
          <w:tcPr>
            <w:tcW w:w="240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tabs>
                <w:tab w:val="left" w:pos="1134" w:leader="none"/>
                <w:tab w:val="right" w:pos="9355" w:leader="none"/>
              </w:tabs>
              <w:spacing w:before="0" w:after="0"/>
              <w:rPr>
                <w:kern w:val="0"/>
                <w:lang w:val="ru-RU" w:bidi="he-IL"/>
              </w:rPr>
            </w:pPr>
            <w:r>
              <w:rPr>
                <w:kern w:val="0"/>
                <w:lang w:val="ru-RU" w:bidi="he-IL"/>
              </w:rPr>
            </w:r>
          </w:p>
        </w:tc>
      </w:tr>
    </w:tbl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355" w:leader="none"/>
        </w:tabs>
        <w:rPr>
          <w:b/>
          <w:u w:val="single"/>
        </w:rPr>
      </w:pPr>
      <w:r>
        <w:rPr>
          <w:b/>
          <w:u w:val="single"/>
        </w:rPr>
        <w:t>Заключение: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  <w:t>По итогам проведенного аудита:</w:t>
      </w:r>
    </w:p>
    <w:p>
      <w:pPr>
        <w:pStyle w:val="ListParagraph"/>
        <w:numPr>
          <w:ilvl w:val="0"/>
          <w:numId w:val="2"/>
        </w:numPr>
        <w:tabs>
          <w:tab w:val="clear" w:pos="1134"/>
        </w:tabs>
        <w:ind w:firstLine="709" w:left="0"/>
        <w:rPr/>
      </w:pPr>
      <w:r>
        <w:rPr>
          <w:sz w:val="24"/>
        </w:rPr>
        <w:t>соответствует требованиям к квалификации в области ПБОТОС - либо</w:t>
      </w:r>
    </w:p>
    <w:p>
      <w:pPr>
        <w:pStyle w:val="ListParagraph"/>
        <w:numPr>
          <w:ilvl w:val="0"/>
          <w:numId w:val="2"/>
        </w:numPr>
        <w:tabs>
          <w:tab w:val="clear" w:pos="1134"/>
        </w:tabs>
        <w:ind w:firstLine="709" w:left="0"/>
        <w:rPr/>
      </w:pPr>
      <w:r>
        <w:rPr>
          <w:sz w:val="24"/>
        </w:rPr>
        <w:t>не соответствует требованиям к квалификации в области ПБОТОС в части: [</w:t>
      </w:r>
      <w:r>
        <w:rPr>
          <w:rStyle w:val="Style12"/>
          <w:sz w:val="24"/>
        </w:rPr>
        <w:t>указать, какие квалификационные требование не подтверждаются</w:t>
      </w:r>
      <w:r>
        <w:rPr>
          <w:sz w:val="24"/>
        </w:rPr>
        <w:t>]</w:t>
      </w:r>
      <w:r>
        <w:rPr>
          <w:i/>
          <w:sz w:val="24"/>
        </w:rPr>
        <w:t>.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355" w:leader="none"/>
        </w:tabs>
        <w:rPr>
          <w:b/>
          <w:u w:val="single"/>
        </w:rPr>
      </w:pPr>
      <w:r>
        <w:rPr>
          <w:b/>
          <w:u w:val="single"/>
        </w:rPr>
        <w:t>Ознакомлен: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  <w:t>_________________ ФИО, должность уполномоченного лица Участника закупки, который квалифицируется.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355" w:leader="none"/>
        </w:tabs>
        <w:rPr>
          <w:b/>
          <w:u w:val="single"/>
        </w:rPr>
      </w:pPr>
      <w:r>
        <w:rPr>
          <w:b/>
          <w:u w:val="single"/>
        </w:rPr>
        <w:t xml:space="preserve">Особое мнение: 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  <w:t>________________ ФИО, должность уполномоченного лица Участника квалификации по видам продукции/закупочных процедур, который квалифицируется.</w:t>
      </w:r>
    </w:p>
    <w:p>
      <w:pPr>
        <w:pStyle w:val="Normal"/>
        <w:tabs>
          <w:tab w:val="left" w:pos="1134" w:leader="none"/>
          <w:tab w:val="right" w:pos="9355" w:leader="none"/>
        </w:tabs>
        <w:rPr>
          <w:i/>
          <w:i/>
        </w:rPr>
      </w:pPr>
      <w:r>
        <w:rPr>
          <w:i/>
        </w:rPr>
        <w:t>(</w:t>
      </w:r>
      <w:r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>
        <w:rPr>
          <w:i/>
        </w:rPr>
        <w:t>)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355" w:leader="none"/>
        </w:tabs>
        <w:rPr>
          <w:b/>
          <w:u w:val="single"/>
        </w:rPr>
      </w:pPr>
      <w:r>
        <w:rPr>
          <w:b/>
          <w:u w:val="single"/>
        </w:rPr>
        <w:t xml:space="preserve">Подготовлено: 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  <w:t>________________ ФИО, должность руководителя группы аудита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</w:r>
    </w:p>
    <w:p>
      <w:pPr>
        <w:pStyle w:val="Normal"/>
        <w:tabs>
          <w:tab w:val="left" w:pos="1134" w:leader="none"/>
          <w:tab w:val="right" w:pos="9355" w:leader="none"/>
        </w:tabs>
        <w:rPr>
          <w:b/>
          <w:u w:val="single"/>
        </w:rPr>
      </w:pPr>
      <w:r>
        <w:rPr>
          <w:b/>
          <w:u w:val="single"/>
        </w:rPr>
        <w:t>Согласовано:</w:t>
      </w:r>
    </w:p>
    <w:p>
      <w:pPr>
        <w:pStyle w:val="Normal"/>
        <w:tabs>
          <w:tab w:val="left" w:pos="1134" w:leader="none"/>
          <w:tab w:val="right" w:pos="9355" w:leader="none"/>
        </w:tabs>
        <w:rPr/>
      </w:pPr>
      <w:r>
        <w:rPr/>
        <w:t xml:space="preserve">________________ ФИО руководителя </w:t>
      </w:r>
      <w:r>
        <w:rPr>
          <w:rFonts w:cs="Arial"/>
          <w:color w:val="000000"/>
        </w:rPr>
        <w:t xml:space="preserve">службы </w:t>
      </w:r>
      <w:bookmarkEnd w:id="2"/>
      <w:bookmarkEnd w:id="3"/>
      <w:r>
        <w:rPr/>
        <w:t>[</w:t>
      </w:r>
      <w:r>
        <w:rPr>
          <w:rStyle w:val="Style12"/>
        </w:rPr>
        <w:t>наименование ОГК</w:t>
      </w:r>
      <w:r>
        <w:rPr/>
        <w:t>]</w:t>
      </w:r>
    </w:p>
    <w:sectPr>
      <w:headerReference w:type="default" r:id="rId7"/>
      <w:headerReference w:type="first" r:id="rId8"/>
      <w:footerReference w:type="default" r:id="rId9"/>
      <w:footnotePr>
        <w:numFmt w:val="decimal"/>
      </w:footnotePr>
      <w:type w:val="nextPage"/>
      <w:pgSz w:w="11906" w:h="16838"/>
      <w:pgMar w:left="1701" w:right="850" w:gutter="0" w:header="708" w:top="1134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60" w:after="0"/>
        <w:rPr>
          <w:rFonts w:ascii="Arial" w:hAnsi="Arial" w:cs="Arial"/>
          <w:sz w:val="16"/>
          <w:szCs w:val="16"/>
        </w:rPr>
      </w:pPr>
      <w:r>
        <w:rPr>
          <w:rStyle w:val="Style14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Второй этап – проведение выездной проверки (технического аудита) является правом Заказчика и в рамках отбора участников закупки является опциональной по решению Заказчика. В случае,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Header"/>
            <w:jc w:val="right"/>
            <w:rPr>
              <w:rFonts w:ascii="Arial" w:hAnsi="Arial" w:cs="Arial"/>
              <w:b/>
              <w:i/>
              <w:i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>
    <w:pPr>
      <w:pStyle w:val="Normal"/>
      <w:ind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Header"/>
            <w:jc w:val="right"/>
            <w:rPr>
              <w:rFonts w:ascii="Arial" w:hAnsi="Arial" w:cs="Arial"/>
              <w:b/>
              <w:i/>
              <w:i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>
    <w:pPr>
      <w:pStyle w:val="Normal"/>
      <w:ind w:hanging="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638"/>
    </w:tblGrid>
    <w:tr>
      <w:trPr>
        <w:trHeight w:val="253" w:hRule="atLeast"/>
      </w:trPr>
      <w:tc>
        <w:tcPr>
          <w:tcW w:w="9638" w:type="dxa"/>
          <w:tcBorders>
            <w:bottom w:val="single" w:sz="12" w:space="0" w:color="FFD200"/>
          </w:tcBorders>
          <w:vAlign w:val="center"/>
        </w:tcPr>
        <w:p>
          <w:pPr>
            <w:pStyle w:val="Header"/>
            <w:jc w:val="right"/>
            <w:rPr>
              <w:rFonts w:ascii="Arial" w:hAnsi="Arial" w:cs="Arial"/>
              <w:b/>
              <w:i/>
              <w:i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>
    <w:pPr>
      <w:pStyle w:val="Normal"/>
      <w:ind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9355"/>
    </w:tblGrid>
    <w:tr>
      <w:trPr>
        <w:trHeight w:val="253" w:hRule="atLeast"/>
      </w:trPr>
      <w:tc>
        <w:tcPr>
          <w:tcW w:w="9355" w:type="dxa"/>
          <w:tcBorders>
            <w:bottom w:val="single" w:sz="12" w:space="0" w:color="FFD200"/>
          </w:tcBorders>
          <w:vAlign w:val="center"/>
        </w:tcPr>
        <w:p>
          <w:pPr>
            <w:pStyle w:val="Header"/>
            <w:jc w:val="right"/>
            <w:rPr>
              <w:rFonts w:ascii="Arial" w:hAnsi="Arial" w:cs="Arial"/>
              <w:b/>
              <w:i/>
              <w:i/>
              <w:sz w:val="10"/>
              <w:szCs w:val="10"/>
            </w:rPr>
          </w:pPr>
          <w:r>
            <w:rPr>
              <w:rFonts w:cs="Arial" w:ascii="Arial" w:hAnsi="Arial"/>
              <w:b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u w:val="none"/>
        <w:szCs w:val="32"/>
        <w:vanish w:val="false"/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32"/>
        <w:sz w:val="32"/>
        <w:spacing w:val="0"/>
        <w:i w:val="false"/>
        <w:u w:val="none"/>
        <w:b/>
        <w:szCs w:val="32"/>
        <w:iCs w:val="false"/>
        <w:bCs w:val="false"/>
        <w:vanish w:val="false"/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iCs w:val="false"/>
        <w:bCs w:val="false"/>
        <w:vanish w:val="false"/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false"/>
        <w:b w:val="false"/>
        <w:iCs w:val="false"/>
        <w:bCs w:val="false"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tabs>
        <w:tab w:val="clear" w:pos="708"/>
        <w:tab w:val="left" w:pos="1134" w:leader="none"/>
      </w:tabs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autoRedefine/>
    <w:qFormat/>
    <w:pPr>
      <w:keepNext w:val="true"/>
      <w:keepLines/>
      <w:tabs>
        <w:tab w:val="clear" w:pos="1134"/>
      </w:tabs>
      <w:spacing w:before="640" w:after="360"/>
      <w:ind w:hanging="0"/>
      <w:jc w:val="center"/>
      <w:outlineLvl w:val="0"/>
    </w:pPr>
    <w:rPr>
      <w:rFonts w:ascii="Arial" w:hAnsi="Arial"/>
      <w:b/>
      <w:bCs/>
      <w:sz w:val="48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pageBreakBefore/>
      <w:numPr>
        <w:ilvl w:val="0"/>
        <w:numId w:val="1"/>
      </w:numPr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9"/>
    <w:qFormat/>
    <w:pPr>
      <w:widowControl w:val="false"/>
      <w:numPr>
        <w:ilvl w:val="2"/>
        <w:numId w:val="1"/>
      </w:numPr>
      <w:spacing w:before="120" w:after="120"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4"/>
    <w:autoRedefine/>
    <w:uiPriority w:val="99"/>
    <w:qFormat/>
    <w:pPr>
      <w:widowControl w:val="false"/>
      <w:numPr>
        <w:ilvl w:val="3"/>
        <w:numId w:val="1"/>
      </w:numPr>
      <w:tabs>
        <w:tab w:val="clear" w:pos="1134"/>
      </w:tabs>
      <w:spacing w:before="240" w:after="120"/>
      <w:ind w:hanging="0" w:left="0"/>
      <w:outlineLvl w:val="3"/>
    </w:pPr>
    <w:rPr>
      <w:bCs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1" w:customStyle="1">
    <w:name w:val="Заголовок 1 Знак"/>
    <w:basedOn w:val="DefaultParagraphFont"/>
    <w:qFormat/>
    <w:rPr>
      <w:rFonts w:ascii="Arial" w:hAnsi="Arial" w:eastAsia="Times New Roman" w:cs="Times New Roman"/>
      <w:b/>
      <w:bCs/>
      <w:sz w:val="48"/>
      <w:szCs w:val="40"/>
      <w:lang w:eastAsia="ru-RU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4" w:customStyle="1">
    <w:name w:val="Заголовок 4 Знак"/>
    <w:basedOn w:val="DefaultParagraphFont"/>
    <w:uiPriority w:val="99"/>
    <w:qFormat/>
    <w:rPr>
      <w:rFonts w:ascii="Times New Roman" w:hAnsi="Times New Roman" w:eastAsia="Times New Roman" w:cs="Times New Roman"/>
      <w:bCs/>
      <w:iCs/>
      <w:sz w:val="24"/>
      <w:szCs w:val="28"/>
      <w:lang w:eastAsia="ru-RU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Style13" w:customStyle="1">
    <w:name w:val="Абзац списка Знак"/>
    <w:basedOn w:val="DefaultParagraphFont"/>
    <w:link w:val="ListParagraph"/>
    <w:uiPriority w:val="34"/>
    <w:qFormat/>
    <w:locked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Символ сноски"/>
    <w:basedOn w:val="DefaultParagraphFont"/>
    <w:uiPriority w:val="99"/>
    <w:qFormat/>
    <w:rPr>
      <w:rFonts w:cs="Times New Roman"/>
      <w:sz w:val="20"/>
      <w:vertAlign w:val="superscript"/>
    </w:rPr>
  </w:style>
  <w:style w:type="character" w:styleId="FootnoteReference">
    <w:name w:val="footnote reference"/>
    <w:rPr>
      <w:rFonts w:cs="Times New Roman"/>
      <w:sz w:val="20"/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Блок Знак"/>
    <w:basedOn w:val="DefaultParagraphFont"/>
    <w:link w:val="Style21"/>
    <w:qFormat/>
    <w:rPr>
      <w:rFonts w:ascii="Arial" w:hAnsi="Arial" w:eastAsia="Times New Roman" w:cs="Arial"/>
      <w:b/>
      <w:sz w:val="72"/>
      <w:szCs w:val="72"/>
      <w:lang w:eastAsia="ru-RU"/>
    </w:rPr>
  </w:style>
  <w:style w:type="character" w:styleId="-" w:customStyle="1">
    <w:name w:val="Введение-заголовок Знак"/>
    <w:link w:val="-1"/>
    <w:qFormat/>
    <w:rPr>
      <w:rFonts w:ascii="Arial" w:hAnsi="Arial" w:eastAsia="Times New Roman" w:cs="Times New Roman"/>
      <w:b/>
      <w:bCs/>
      <w:caps/>
      <w:sz w:val="28"/>
      <w:szCs w:val="24"/>
      <w:lang w:eastAsia="ru-RU"/>
    </w:rPr>
  </w:style>
  <w:style w:type="character" w:styleId="11111" w:customStyle="1">
    <w:name w:val="11111 Знак"/>
    <w:basedOn w:val="DefaultParagraphFont"/>
    <w:link w:val="111111"/>
    <w:qFormat/>
    <w:rPr>
      <w:rFonts w:ascii="Times New Roman" w:hAnsi="Times New Roman" w:eastAsia="Calibri" w:cs="Times New Roman"/>
    </w:rPr>
  </w:style>
  <w:style w:type="character" w:styleId="EndnoteReference">
    <w:name w:val="endnote reference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nhideWhenUsed/>
    <w:pPr>
      <w:tabs>
        <w:tab w:val="left" w:pos="1134" w:leader="none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left" w:pos="1134" w:leader="none"/>
        <w:tab w:val="center" w:pos="4677" w:leader="none"/>
        <w:tab w:val="right" w:pos="9355" w:leader="none"/>
      </w:tabs>
    </w:pPr>
    <w:rPr/>
  </w:style>
  <w:style w:type="paragraph" w:styleId="Style20" w:customStyle="1">
    <w:name w:val="Таблица текст"/>
    <w:basedOn w:val="Normal"/>
    <w:qFormat/>
    <w:pPr>
      <w:spacing w:before="40" w:after="40"/>
      <w:ind w:hanging="0" w:left="57" w:right="57"/>
      <w:jc w:val="left"/>
    </w:pPr>
    <w:rPr>
      <w:szCs w:val="24"/>
    </w:rPr>
  </w:style>
  <w:style w:type="paragraph" w:styleId="ListParagraph">
    <w:name w:val="List Paragraph"/>
    <w:basedOn w:val="Normal"/>
    <w:link w:val="Style13"/>
    <w:uiPriority w:val="34"/>
    <w:qFormat/>
    <w:pPr>
      <w:widowControl w:val="false"/>
      <w:spacing w:before="120" w:after="0"/>
      <w:ind w:hanging="0" w:left="720"/>
      <w:contextualSpacing/>
      <w:jc w:val="left"/>
    </w:pPr>
    <w:rPr>
      <w:sz w:val="20"/>
      <w:szCs w:val="20"/>
    </w:rPr>
  </w:style>
  <w:style w:type="paragraph" w:styleId="-5" w:customStyle="1">
    <w:name w:val="Пункт-5"/>
    <w:basedOn w:val="Normal"/>
    <w:qFormat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styleId="FootnoteText">
    <w:name w:val="footnote text"/>
    <w:basedOn w:val="Normal"/>
    <w:link w:val="Style15"/>
    <w:uiPriority w:val="99"/>
    <w:pPr>
      <w:widowControl w:val="false"/>
      <w:spacing w:before="60" w:after="0"/>
      <w:ind w:hanging="0"/>
    </w:pPr>
    <w:rPr>
      <w:sz w:val="20"/>
      <w:szCs w:val="20"/>
    </w:rPr>
  </w:style>
  <w:style w:type="paragraph" w:styleId="Style21" w:customStyle="1">
    <w:name w:val="Блок"/>
    <w:basedOn w:val="Normal"/>
    <w:link w:val="Style16"/>
    <w:qFormat/>
    <w:pPr>
      <w:spacing w:before="3360" w:after="600"/>
      <w:ind w:hanging="0"/>
      <w:jc w:val="center"/>
      <w:outlineLvl w:val="0"/>
    </w:pPr>
    <w:rPr>
      <w:rFonts w:ascii="Arial" w:hAnsi="Arial" w:cs="Arial"/>
      <w:b/>
      <w:sz w:val="72"/>
      <w:szCs w:val="72"/>
    </w:rPr>
  </w:style>
  <w:style w:type="paragraph" w:styleId="-1" w:customStyle="1">
    <w:name w:val="Введение-заголовок"/>
    <w:basedOn w:val="Normal"/>
    <w:link w:val="-"/>
    <w:qFormat/>
    <w:pPr>
      <w:keepNext w:val="true"/>
      <w:ind w:hanging="0"/>
      <w:outlineLvl w:val="1"/>
    </w:pPr>
    <w:rPr>
      <w:rFonts w:ascii="Arial" w:hAnsi="Arial"/>
      <w:b/>
      <w:bCs/>
      <w:caps/>
      <w:sz w:val="28"/>
      <w:szCs w:val="24"/>
    </w:rPr>
  </w:style>
  <w:style w:type="paragraph" w:styleId="111111" w:customStyle="1">
    <w:name w:val="11111"/>
    <w:basedOn w:val="Normal"/>
    <w:link w:val="11111"/>
    <w:qFormat/>
    <w:pPr>
      <w:widowControl w:val="false"/>
      <w:tabs>
        <w:tab w:val="clear" w:pos="1134"/>
      </w:tabs>
      <w:spacing w:before="120" w:after="120"/>
      <w:ind w:hanging="0" w:left="851"/>
    </w:pPr>
    <w:rPr>
      <w:rFonts w:eastAsia="Calibri"/>
      <w:sz w:val="22"/>
      <w:szCs w:val="22"/>
      <w:lang w:eastAsia="en-US"/>
    </w:rPr>
  </w:style>
  <w:style w:type="paragraph" w:styleId="Style22">
    <w:name w:val="Верхний колонтитул слева"/>
    <w:basedOn w:val="Header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rPr>
      <w:lang w:eastAsia="ru-RU" w:bidi="he-I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Arial" pitchFamily="0" charset="1"/>
        <a:cs typeface="Arial" pitchFamily="0" charset="1"/>
      </a:majorFont>
      <a:minorFont>
        <a:latin typeface="Calibri" panose="020F0502020204030204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LibreOffice/24.8.4.2$Linux_X86_64 LibreOffice_project/480$Build-2</Application>
  <AppVersion>15.0000</AppVersion>
  <Pages>4</Pages>
  <Words>715</Words>
  <Characters>5731</Characters>
  <CharactersWithSpaces>6415</CharactersWithSpaces>
  <Paragraphs>51</Paragraphs>
  <Company>Energoneft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2020-10-06T08:46:00Z</dcterms:created>
  <dc:creator>Цветкова Евгения Владимировна</dc:creator>
  <dc:description/>
  <dc:language>ru-RU</dc:language>
  <cp:lastModifiedBy>borozdinovaes@178srz.local</cp:lastModifiedBy>
  <dcterms:modified xsi:type="dcterms:W3CDTF">2022-05-13T04:51:00Z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