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shd w:val="clear" w:color="ffffff" w:themeColor="background1" w:fill="ffffff" w:themeFill="background1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Приложение № 4 к извещению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contextualSpacing/>
        <w:jc w:val="right"/>
        <w:shd w:val="clear" w:color="ffffff" w:themeColor="background1" w:fill="ffffff" w:themeFill="background1"/>
        <w:rPr>
          <w:b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highlight w:val="white"/>
        </w:rPr>
        <w:t xml:space="preserve">о проведении электронного аукциона</w:t>
      </w: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ПРОЕКТ КОНТРАКТА </w:t>
      </w: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b/>
          <w:bCs/>
          <w:color w:val="000000" w:themeColor="text1"/>
          <w:highlight w:val="white"/>
        </w:rPr>
      </w:pPr>
      <w:r>
        <w:rPr>
          <w:b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p>
      <w:pPr>
        <w:pStyle w:val="686"/>
        <w:jc w:val="center"/>
        <w:spacing w:after="0" w:line="240" w:lineRule="auto"/>
        <w:tabs>
          <w:tab w:val="left" w:pos="851" w:leader="none"/>
          <w:tab w:val="left" w:pos="1134" w:leader="none"/>
          <w:tab w:val="left" w:pos="7655" w:leader="none"/>
        </w:tabs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Century" w:hAnsi="Century" w:eastAsia="Calibri"/>
          <w:b/>
          <w:color w:val="000000" w:themeColor="text1"/>
          <w:sz w:val="28"/>
          <w:szCs w:val="28"/>
          <w:highlight w:val="white"/>
        </w:rPr>
        <w:t xml:space="preserve">         </w:t>
      </w:r>
      <w:r>
        <w:rPr>
          <w:rFonts w:ascii="Times New Roman" w:hAnsi="Times New Roman"/>
          <w:b/>
          <w:sz w:val="24"/>
          <w:szCs w:val="24"/>
          <w:highlight w:val="white"/>
          <w:lang w:eastAsia="ru-RU"/>
        </w:rPr>
        <w:t xml:space="preserve"> М</w:t>
      </w: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  <w:t xml:space="preserve">УНИЦИПАЛЬНЫЙ КОНТРАКТ № 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  <w:t xml:space="preserve">на </w:t>
      </w: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  <w:t xml:space="preserve">поставку оборудования для эксплуатируемых заказчиком дыхательных аппаратов со сжатым воздухом с открытым циклом дыхания ДАСВ «Зевс»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p>
      <w:pPr>
        <w:pStyle w:val="686"/>
        <w:jc w:val="right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(Идентификационный код закупки №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263440101643944010100100280010000244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)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__ ______________ 2026 г.                                                                                       г. Кострома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Муниципальное казен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ное учреждение города Костромы «Центр гражданской защиты города Костромы», именуемое в дальнейшем «Заказчик», в лице директора Ведрова Сергея Александровича, действующего на основании Устава, с одной стороны, и _________ , именуемый в дальнейшем «Поставщик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», в лице _________ , действующего на основании _________ , с другой стороны, вместе именуемые в дальнейшем «Стороны», на основании _______________ от __ ______ 2026 г. № ______ заключили настоящий муниципальный контракт (далее - Контракт) о нижеследующем: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Предмет Контракта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1.1. Поставщик обязуется поставить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оборудование для эксплуатируемых заказчиком дыхательных аппаратов со сжатым воздухом с открытым циклом дыхания ДАСВ «Зевс»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(далее - Товар), а Заказчик обязуется принять и оплатить Товар в порядке и на условиях, предусмотренных Контрактом.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1.2. Наименование, количество и иные характеристики поставляемого Товара указаны в спецификации (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begin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 HYPERLINK "file:///D:\\..\\UstinovaUO\\Desktop\\2020%20год\\УАЗ\\Январь\\Офисная%20мебель\\типовой%20контракт.doc" \l "P456" \o "file:///C:UstinovaUODesktop2020%20годУАЗЯнварьОфисная%20мебельтиповой%20контракт.doc#P456" 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separate"/>
      </w:r>
      <w:r>
        <w:rPr>
          <w:rFonts w:ascii="Times New Roman" w:hAnsi="Times New Roman"/>
          <w:bCs/>
          <w:color w:val="0000ff"/>
          <w:sz w:val="24"/>
          <w:szCs w:val="24"/>
          <w:highlight w:val="white"/>
          <w:u w:val="single"/>
          <w:lang w:eastAsia="ru-RU"/>
        </w:rPr>
        <w:t xml:space="preserve">приложение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end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к Контракту), являющейся неотъемлемой частью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II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Цена Контракта и порядок расчетов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2.1. Цена Контракта составляет ________________ (________________) рублей ___ копеек, в том числе НДС _________ (______________) рублей ___ копеек </w:t>
      </w:r>
      <w:r>
        <w:rPr>
          <w:rFonts w:ascii="Times New Roman" w:hAnsi="Times New Roman"/>
          <w:bCs/>
          <w:sz w:val="24"/>
          <w:szCs w:val="24"/>
          <w:highlight w:val="white"/>
          <w:vertAlign w:val="superscript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/ без учета НДС.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2.3. Цена Контракта включает в себя: стоимость Товара, расход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2.4. Цена Контракта является твердой и опреде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ляется на весь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2.5. Источник финансирования Контракта – средства бюджета города Костромы на 2026 год. Валюта платежа – российский рубль.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2.6. Расчеты между Заказчиком и Поставщиком производятся не позднее 7 (семи) рабочих дней с даты подписания Заказчиком документа о приемке.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2.7. Оплата по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III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Порядок, сроки и условия поставки и приемки Товара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3.1. Срок поставки Товара: 21</w:t>
      </w:r>
      <w:r>
        <w:rPr>
          <w:rFonts w:ascii="Times New Roman" w:hAnsi="Times New Roman"/>
          <w:bCs/>
          <w:iCs/>
          <w:sz w:val="24"/>
          <w:szCs w:val="24"/>
          <w:highlight w:val="white"/>
          <w:lang w:eastAsia="ru-RU"/>
        </w:rPr>
        <w:t xml:space="preserve"> (двадцать один</w:t>
      </w:r>
      <w:r>
        <w:rPr>
          <w:rFonts w:ascii="Times New Roman" w:hAnsi="Times New Roman"/>
          <w:bCs/>
          <w:iCs/>
          <w:sz w:val="24"/>
          <w:szCs w:val="24"/>
          <w:highlight w:val="white"/>
          <w:lang w:eastAsia="ru-RU"/>
        </w:rPr>
        <w:t xml:space="preserve">) календарный день с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даты заключения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Поставка и разгрузка Товара у Заказчика осуществляется Поставщиком по адресу: город Кострома, улица Ленина, дом 86.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 предстоящей поставке товара Поставщик уведомляет Заказчика не менее чем за 1 рабочий день до осуществления поставки товара.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3.2. Поставщик в течение 5 (пяти) рабочих дней со дня пост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авки Товара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а) идентификационный код закупки, наименование, место нахождения Заказчика, наименование объекта закупки, место поставки Товара, информацию о Поставщике, предусмо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тренную подпунктами "а", "г" и "е" части 1 статьи 43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единицу измерения поставленного Товара;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б) наименование поставленного Товара;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в) наименование страны происхождения поставленного Товара;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г) информацию о количестве поставленного Товара;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д) стоимость исполненных Поставщиком обязательств, предусмотренных Контрактом, с указанием цены за единицу поставленного Товара;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е) иную информацию с учетом требований, установленных в соответствии с частью 3 статьи 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3.3. К документу о приемке могут прилагаться д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3.4. Документ о приемке, подписанный Поставщиком, не позднее одного часа с момента его размещения в единой информационной системе автоматически с использованием единой ин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формационной системы направляется Заказчику. Датой поступления Заказчику документа о приемке, подписанного Поставщиком считается дата размещения такого документа в единой информационной системе в соответствии с часовой зоной, в которой расположен Заказчик.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3.5. Приемка Товара осуществляется путем передачи Поставщиком Товара и документов, подтверждающих качество Товара.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3.6.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3.7. Для проверки поставленного Товара в части соответствия Товара условиям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аться эксперты, экспертные организации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3.8. 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В случае есл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и по результатам такой экспертизы установлены нарушения требований настоящего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3.9. Для приемки поставленного Товара Заказчиком создается приемочная комиссия, которая состоит не менее чем из пяти человек.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3.10. Приемка поставленного Товара осуществляется в порядке и в сроки, которые установлены Контрактом, и оформляется документом о приемке, который подписывается всеми членами приемочной коми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ссии и утверждается Заказчиком, либо Поставщику в те же сроки Заказчиком направляется в письменной форме мотивированный отказ от подписания такого документа. В случае привлечения Заказчиком для проведения указанной экспертизы экспертов, экспертных организа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ций при принятии решения о приемке или об отказе в приемке поставленного Товара,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3.11. 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этого Товара и устранено Поставщиком.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3.12. Не позднее 10 (десяти) рабочих дней, следующих за днем поступления Заказчику документа о приемке в соответствии с пунктом 3.4 Контракта: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3.12.1. члены приемочной комиссии подписывают усиленными электронными подписями поступивший документ о приемке или фор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3.12.2. после подписания членами приемочной комиссии в соответствии с подпунктом 3.12.1 пункта 3.12 Контракта документа о приемке или мотивированного отказа от подписания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члены приемочной комиссии в соответствии с подпунктом 3.12.1 пункта 3.12 Контракта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3.13. Документ о приемке, мотивированный отказ от подписания документа о приемке не позднее одного часа с момен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та размещения в единой информационной системе в соответствии с подпунктом 3.12.2 пункта 3.12 Контракта направляются автоматически с использованием единой информационной системы Поставщику. Датой поступления Поставщику документа о приемке, мотивированного о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тказа от подписания документа о приемке считается дата размещения в соответствии с настоящим пунктом Контракта таких документа о приемке, мотивированного отказа в единой информационной системе в соответствии с часовой зоной, в которой расположен Поставщик.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3.14. В случае получения в соответствии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с пунктом 3.13 Контракта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3.15.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3.16. Внесение исправлений в документ о приемке, оформленный в соответствии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с настоящим разделом Контракта, осуществляется путем формирования, подписания усиленными электронными подписями лиц, имеющих право действовать от имени Поставщика, Заказчика, и размещения в единой информационной системе исправленного документа о приемке.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3.17. Во всех случаях, влекущих возврат Товара Поставщику, Заказчик обязан обеспечить сохранность этого Товара до моме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3.18.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IV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Взаимодействие Сторон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4.1. Поставщик обязан: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4.1.1. поставить Товар в порядке, количестве, в срок, и на условиях, предусмотренных Контрактом и спецификацией;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4.1.2. обеспечить соответствие поставляемог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4.1.4. в случае принятия решения об одностороннем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отказе от исполнения Контракта направить его Заказчику в порядке, предусмотренном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4.1.5.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4.2. Поставщик вправе: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4.2.1. требовать от Заказчика произвести приемку Товара в порядке и в сроки, предусмотренные Контрактом;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4.2.3. принять решение об одностороннем отказе от исполнения Ко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нтракта в соответствии с гражданским законодательством и в порядке, предусмотренном ст.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 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4.2.4. требовать возмещения убытков, уплаты неустоек (штрафов, пеней) в соответствии с разделом </w:t>
      </w: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VI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Контракта;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4.2.5. по согласованию с Заказчиком (путем заключения дополнительного согла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предусмотрены нормативными правовыми актами, принятыми в соответствии с частью 6 статьи 14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4.3. Заказчик обязуется: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4.3.2. принять решение об одностороннем отказе от исполнения Контракта, если в ходе исполнения Контракта установлено, что:</w:t>
      </w:r>
      <w:r>
        <w:rPr>
          <w:highlight w:val="white"/>
        </w:rPr>
      </w:r>
      <w:r>
        <w:rPr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а) Поставщик и (или) поставляемый Товар перестал соответствовать установленным извещением об осуществлении закупки требованиям к участникам закупки (за иск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лючением требования, предусмотренного частью 1.1 (при наличии такого требования)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нужд»);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б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4.3.3. в случае принятия решения об одностороннем о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тказе от исполнения Контракта направить его Поставщику в порядке, предусмотренном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4.3.4. требовать уплаты неустоек (штрафов, пеней) в соответствии с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begin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 HYPERLINK "file:///D:\\..\\UstinovaUO\\Desktop\\2020%20год\\УАЗ\\Январь\\Офисная%20мебель\\типовой%20контракт.doc" \l "P226" \o "file:///C:UstinovaUODesktop2020%20годУАЗЯнварьОфисная%20мебельтиповой%20контракт.doc#P226" 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separate"/>
      </w:r>
      <w:r>
        <w:rPr>
          <w:rFonts w:ascii="Times New Roman" w:hAnsi="Times New Roman"/>
          <w:bCs/>
          <w:color w:val="0000ff"/>
          <w:sz w:val="24"/>
          <w:szCs w:val="24"/>
          <w:highlight w:val="white"/>
          <w:u w:val="single"/>
          <w:lang w:eastAsia="ru-RU"/>
        </w:rPr>
        <w:t xml:space="preserve">разделом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end"/>
      </w: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VI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Контракта;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begin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 HYPERLINK "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consultantplus://offline/ref=B5FCB9E5094EC2B5C5F9F0AA003C98CBAFE1521D7726EA2A4404314D102B15F85138F75A3DD5D69C73DB570EED23BAJ" \o "consultantplus://offline/ref=B5FCB9E5094EC2B5C5F9F0AA003C98CBAFE1521D7726EA2A4404314D102B15F85138F75A3DD5D69C73DB570EED23BAJ" 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separate"/>
      </w:r>
      <w:r>
        <w:rPr>
          <w:rFonts w:ascii="Times New Roman" w:hAnsi="Times New Roman"/>
          <w:bCs/>
          <w:color w:val="0000ff"/>
          <w:sz w:val="24"/>
          <w:szCs w:val="24"/>
          <w:highlight w:val="white"/>
          <w:u w:val="single"/>
          <w:lang w:eastAsia="ru-RU"/>
        </w:rPr>
        <w:t xml:space="preserve">законом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end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4.4. Заказчик вправе: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4.4.1. требовать от Поставщика надлежащего исполнения обязательств по Контракту;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4.4.2. требовать от Поставщика своевременного устранения недостатков, выявленных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как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в ходе приемки,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так и в течение гарантийного срока;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4.4.4. требовать возмещения убытков в соответствии с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begin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 HYPERLINK "file:///D:\\..\\UstinovaUO\\Desktop\\2020%20год\\УАЗ\\Январь\\Офисная%20мебель\\типовой%20контракт.doc" \l "P226" \o "file:///C:UstinovaUODesktop2020%20годУАЗЯнварьОфисная%20мебельтиповой%20контракт.doc#P226" 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separate"/>
      </w:r>
      <w:r>
        <w:rPr>
          <w:rFonts w:ascii="Times New Roman" w:hAnsi="Times New Roman"/>
          <w:bCs/>
          <w:color w:val="0000ff"/>
          <w:sz w:val="24"/>
          <w:szCs w:val="24"/>
          <w:highlight w:val="white"/>
          <w:u w:val="single"/>
          <w:lang w:eastAsia="ru-RU"/>
        </w:rPr>
        <w:t xml:space="preserve">разделом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end"/>
      </w: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VI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Контракта, причиненных по вине Поставщика;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4.4.5. отказаться от приемки и оплаты Товара, не соответствующего условиям Контракта;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4.4.6. принять решение об одностороннем отказе от исполнения К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онтракта в соответствии с гражданским законодательством и в порядке, предусмотренном ст.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4.4.7.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686"/>
        <w:ind w:firstLine="709"/>
        <w:jc w:val="center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V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Качество Товара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5.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1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. Поставляемый товар должен быть новым (ранее не находившимся в употреблении у Поставщика и (или) у третьих лиц), не прошедшим ремонт, восстановление потребительских свойств, не имеющим дефектов изготовления, не находящемся в залоге, под арестом или под ин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ым обременением, качественным, позволяющим использовать Товар в соответствии с его назначением.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5.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2.  Товар должен быть упакован и замаркирован в соответствии с действующими стандартами.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5.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3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. Поставщик поставляет Товар в упаковке предприятия-изготовителя,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грузок в пути и длительного хранения. 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5.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4. Качество, безопасность и упаковка товара должно соответствовать государственным стандартам, техническим регламентам, утвержденным в отношении товара: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ГОСТ Р 53257-2019 «Национальный стандарт Российской Федерации. Техника пожарная. Лицевые части средств индивидуальной защиты органов дыхания. Общие технические требования. Методы испытаний».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ТР ЕАЭС 043/2017 «Технический регламент Евразийского экономического союза "О требованиях к средствам обеспечения пожарной безопасности и пожаротушения»;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ТР ТС 032/2013 «Технический регламент Таможенного союза «О безопасности оборудования, работающего под избыточным давлением».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5.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5. Одновременно с передачей Товара Поставщик передает Заказчику комплект документов, включающий в себя: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 копию сертификата соответствия, сертификата качества, в случае, если товар подлежит обязательной сертификации;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товарную накладную или универсальный передаточный документ (два экземпляра);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руководство по эксплуатации (на каждую единицу Товара);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паспорт товара (на каждую единицу Товара);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гарантийный документ (на каждую единицу Товара).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П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ри этом, Заказчик (уполномоченное лицо) в товарной накладной  или универсальном передаточном документе делает отметку, подтверждающую передачу Поставщиком Товара согласно сведениям, указанным в товарной накладной или универсальном передаточном документе, с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 целью дальнейшей приемки Товара.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5.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6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. 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 Поставщик обязан безво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змездно устранить недостатки (дефекты) Товара в течение 5 (пяти) рабочих дней с момента письменного уведомления о них Заказчиком.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В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 случае, если Поставщик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зчику. Оплата услуг эксперта, экспертной организации, а также всех расходов, в том числе связанных с транспортировкой, осуществляется Поставщиком.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5.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7. Право собственности и риски случайной гибели Товара переходят от Поставщика к Заказчику после приемки Товара Заказчиком и подписания соответствующего документа о приемке в единой информационной системе.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86"/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5.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8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. Срок действия гарантии на Товар должен составлять не менее 12 месяцев с момента подписания Заказчиком документа о приемке, но не менее срока действия гарантии на Товар, предоставляемого производителем Товара. Предоставление гарантии осуществляется вместе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 с Товаром. Конкретный срок гарантии указывается в гарантийном документе, предоставляемом Поставщиком вместе с Товаром.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VI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Ответственность Сторон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 непокрытой неустойкой.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6.3. В случае просрочки исполнения Поставщиком обязательств </w:t>
      </w:r>
      <w:r>
        <w:rPr>
          <w:rFonts w:eastAsia="Calibri"/>
          <w:highlight w:val="white"/>
        </w:rPr>
        <w:t xml:space="preserve">(в том числе гарантийн</w:t>
      </w:r>
      <w:r>
        <w:rPr>
          <w:rFonts w:eastAsia="Calibri"/>
          <w:highlight w:val="white"/>
        </w:rPr>
        <w:t xml:space="preserve">ого обязательства)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, предусмотренных Контрактом, Поставщи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к уплачивает Заказчику пени.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6.4. За каждый факт неисполнения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или ненадлежащего исполнения Поставщиком обязательств, предусмотренных Контрактом, за исключением просрочки исполнения Поставщиком обязательств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(в том числе гарантийного обязательства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)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, предусмотренных Контрактом, Поставщик уплачивает Заказчику штраф. Размер штрафа определяется в соответствии с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begin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 HYPERLINK "consultantplus://offline/ref=B5FCB9E5094EC2B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5C5F9F0AA003C98CBAFE0571E742BEA2A4404314D102B15F84338AF563ED5C89C71CE015FA8667B7BE76BFAD4EF8D401925B2J" \o "consultantplus://offline/ref=B5FCB9E5094EC2B5C5F9F0AA003C98CBAFE0571E742BEA2A4404314D102B15F84338AF563ED5C89C71CE015FA8667B7BE76BFAD4EF8D401925B2J" 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separate"/>
      </w:r>
      <w:r>
        <w:rPr>
          <w:rFonts w:ascii="Times New Roman" w:hAnsi="Times New Roman"/>
          <w:bCs/>
          <w:color w:val="0000ff"/>
          <w:sz w:val="24"/>
          <w:szCs w:val="24"/>
          <w:highlight w:val="white"/>
          <w:u w:val="single"/>
          <w:lang w:eastAsia="ru-RU"/>
        </w:rPr>
        <w:t xml:space="preserve">Правилами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end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опр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заказчиком, поставщиком (подрядчиком, исполнителем)), утвержденными постановлением Правительства Российской Федерации от 30 августа 2017 г. № 1042 (далее – Правила) и составляет 1 процент цены Контракта, но не более 5 тыс. рублей и не менее 1 тыс. рублей.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(В случае заключения Контракта с победителем закупки (или с иным участником закупки в случаях, установленных Федеральным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begin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 HYPERLINK "consultantplus://offline/ref=DC957B7048B3E730E01782C9500F16ADA5D3EDE70F92A5183E409088CDo0bBI" \o "consultantplus://offline/ref=DC957B7048B3E730E01782C9500F16ADA5D3EDE70F92A5183E409088CDo0bBI" 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separate"/>
      </w:r>
      <w:r>
        <w:rPr>
          <w:rFonts w:ascii="Times New Roman" w:hAnsi="Times New Roman"/>
          <w:bCs/>
          <w:i/>
          <w:color w:val="0000ff"/>
          <w:sz w:val="24"/>
          <w:szCs w:val="24"/>
          <w:highlight w:val="white"/>
          <w:u w:val="single"/>
          <w:lang w:eastAsia="ru-RU"/>
        </w:rPr>
        <w:t xml:space="preserve">законом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end"/>
      </w: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пункт 6.4 излагается в следующей редакции: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/>
          <w:sz w:val="24"/>
          <w:szCs w:val="24"/>
          <w:highlight w:val="white"/>
        </w:rPr>
      </w:pP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</w:t>
      </w: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(в том числе гарантийного обязательства)</w:t>
      </w:r>
      <w:r>
        <w:rPr>
          <w:rFonts w:ascii="Times New Roman" w:hAnsi="Times New Roman"/>
          <w:bCs/>
          <w:i/>
          <w:iCs/>
          <w:sz w:val="24"/>
          <w:szCs w:val="24"/>
          <w:highlight w:val="white"/>
          <w:lang w:eastAsia="ru-RU"/>
        </w:rPr>
        <w:t xml:space="preserve">,</w:t>
      </w: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 предусмотренных Контрактом, Поставщик уплачивает Заказчику штраф. Размер штрафа определяется в соответствии с Правилами и равен:</w:t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/>
          <w:sz w:val="24"/>
          <w:szCs w:val="24"/>
          <w:highlight w:val="white"/>
        </w:rPr>
      </w:pP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а) в случае, если цена Контракта не превышает начальную (максимальную) цену Контракта: 10 % начальной (максимальной) цены Контракта;</w:t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/>
          <w:sz w:val="24"/>
          <w:szCs w:val="24"/>
          <w:highlight w:val="white"/>
        </w:rPr>
      </w:pP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б) в случае, если цена Контракта превышает начальную (максимальную) цену Контракта:</w:t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/>
          <w:sz w:val="24"/>
          <w:szCs w:val="24"/>
          <w:highlight w:val="white"/>
        </w:rPr>
      </w:pP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10 % цены Контракта, если цена Контракта не превышает 3 млн. рублей</w:t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/>
          <w:sz w:val="24"/>
          <w:szCs w:val="24"/>
          <w:highlight w:val="white"/>
        </w:rPr>
      </w:pP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5 % цены Контракта, если цена Контракта составляет от 3 млн. рублей до 50 млн. рублей (включительно);</w:t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/>
          <w:sz w:val="24"/>
          <w:szCs w:val="24"/>
          <w:highlight w:val="white"/>
        </w:rPr>
      </w:pP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1 % цены Контракта, если цена Контракта составляет от 50 млн. рублей до 100 млн. рублей (включительно)).</w:t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6.5. За каждый факт неисполнения или ненадлеж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штрафа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(при наличии в Контракте таких обязательств)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определяется в соответствии с Правилами и составляет 1 000 (Одна тысяча) рублей 00 копеек.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6.6. 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6.7. За каждый факт неисполнения Заказчиком обязательст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 1000 (Одна тысяча) рублей 00 копеек.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6.8. За каждый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день просрочки исполнения Поставщиком обязательства по предоставлению нового обеспечения исполнения Контракта, предусмотренного пунктом 7.6 Контракта, начисляется пеня в размере, определенном в порядке, установленном в соответствии с пунктом 6.3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6.9.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6.10.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6.12. В случае расторжения Контракта в связи с односторонним отказом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VII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Обеспечение исполнения Контракта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7.1. Размер обеспечения исполнения Контракта составляет 1 % от цены Контракта и составляет ___________ рублей _____копеек.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При снижении Поставщиком в ходе</w:t>
      </w: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 проведения аукциона цены на двадцать пять и более процентов по отношению к начальной (максимальной) цене Контракта Поставщик, с которым заключается Контракт, предоставляет обеспечение исполнения Контракта в размере, превышающем в полтора раза размер обесп</w:t>
      </w: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ечения исполнения Контракта, указанный в абзаце первом настоящего пункта, но не менее чем десять процентов от цены Контракта, что составляет _________________ рублей _____ копеек, или информацию, подтверждающую добросовестность Поставщика в соответствии с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begin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 HYPERLINK "file:///D:\\..\\..\\..\\..\\admin\\AppData\\Local\\Microsoft\\Windows\\Temporary%20Internet%20Files\\KoleganovaAA\\AppData\\Local\\Microsoft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\\Windows\\Temporary%20Internet%20Files\\Content.Outlook\\I0UVO1RF\\%D0%9E%D0%B1%D0%B5%D0%B7%D0%B2%D1%80%D0%B5%D0%B6%D0%B8%D0%B2%D0%B0%D0%BD%D0%B8%D0%B5%20%D1%81%D0%B5%D0%BD%D1%82%D1%8F%D0%B1%D1%80%D1%8C-%D0%B4%D0%B5%D0%BA%D0%B0%D0%B1%D1%80%D1%8C.doc" \l "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Par727" \o "file://C:......adminAppDataLocalMicrosoftWindowsTemporary%20Internet%20FilesKoleganovaAAAppDataLocalMicrosoftWindowsTemporary%20Internet%20FilesContent.OutlookI0UVO1RF%D0%9E%D0%B1%D0%B5%D0%B7%D0%B2%D1%80%D0%B5%D0%B6%D0%B8%D0%B2%D0%B0%D0%BD%D0" 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separate"/>
      </w:r>
      <w:r>
        <w:rPr>
          <w:rFonts w:ascii="Times New Roman" w:hAnsi="Times New Roman"/>
          <w:bCs/>
          <w:i/>
          <w:color w:val="0000ff"/>
          <w:sz w:val="24"/>
          <w:szCs w:val="24"/>
          <w:highlight w:val="white"/>
          <w:u w:val="single"/>
          <w:lang w:eastAsia="ru-RU"/>
        </w:rPr>
        <w:t xml:space="preserve">частью 3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end"/>
      </w: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 статьи 37 Федерального закона от 5 ап</w:t>
      </w:r>
      <w:r>
        <w:rPr>
          <w:rFonts w:ascii="Times New Roman" w:hAnsi="Times New Roman"/>
          <w:bCs/>
          <w:i/>
          <w:sz w:val="24"/>
          <w:szCs w:val="24"/>
          <w:highlight w:val="white"/>
          <w:lang w:eastAsia="ru-RU"/>
        </w:rPr>
        <w:t xml:space="preserve">реля 2013 г. № 44-ФЗ «О контрактной системе в сфере закупок товаров, работ, услуг для обеспечения государственных и муниципальных нужд» с одновременным предоставлением обеспечения исполнения Контракта в размере, указанном в абзаце первом настоящего пункта.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7.2. Исполнение Контракта обеспечивается предоставлением независимой гарантии, соответствующей требованиям статьи 45 Федерального закона от 5 апреля 2013 года № 44-ФЗ «О контрактной системе в сфере закупок товаров,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работ, услуг для обеспечения государственных и муниципальных нужд»,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Реквизиты Заказчика для перечисления денежных средств в качестве обеспечения исполнения настоящего Контракта: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Получатель: Управление финансов Администрации города Костромы (Муниципальное казенное учреждение города Костромы «Центр гражданской защиты города Костромы»).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Cs/>
          <w:sz w:val="24"/>
          <w:szCs w:val="24"/>
          <w:highlight w:val="white"/>
        </w:rPr>
      </w:pPr>
      <w:r>
        <w:rPr>
          <w:rFonts w:ascii="Times New Roman" w:hAnsi="Times New Roman"/>
          <w:bCs/>
          <w:iCs/>
          <w:sz w:val="24"/>
          <w:szCs w:val="24"/>
          <w:highlight w:val="white"/>
          <w:lang w:eastAsia="ru-RU"/>
        </w:rPr>
        <w:t xml:space="preserve">ИНН/ КПП 4401016439/440101001</w:t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Cs/>
          <w:sz w:val="24"/>
          <w:szCs w:val="24"/>
          <w:highlight w:val="white"/>
        </w:rPr>
      </w:pPr>
      <w:r>
        <w:rPr>
          <w:rFonts w:ascii="Times New Roman" w:hAnsi="Times New Roman"/>
          <w:bCs/>
          <w:iCs/>
          <w:sz w:val="24"/>
          <w:szCs w:val="24"/>
          <w:highlight w:val="white"/>
          <w:lang w:eastAsia="ru-RU"/>
        </w:rPr>
        <w:t xml:space="preserve">лицевой счет – 942.02.001.8</w:t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Cs/>
          <w:sz w:val="24"/>
          <w:szCs w:val="24"/>
          <w:highlight w:val="white"/>
        </w:rPr>
      </w:pPr>
      <w:r>
        <w:rPr>
          <w:rFonts w:ascii="Times New Roman" w:hAnsi="Times New Roman"/>
          <w:bCs/>
          <w:iCs/>
          <w:sz w:val="24"/>
          <w:szCs w:val="24"/>
          <w:highlight w:val="white"/>
          <w:lang w:eastAsia="ru-RU"/>
        </w:rPr>
        <w:t xml:space="preserve">Казначейский счет: 03232643347010004100</w:t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Cs/>
          <w:sz w:val="24"/>
          <w:szCs w:val="24"/>
          <w:highlight w:val="white"/>
        </w:rPr>
      </w:pPr>
      <w:r>
        <w:rPr>
          <w:rFonts w:ascii="Times New Roman" w:hAnsi="Times New Roman"/>
          <w:bCs/>
          <w:iCs/>
          <w:sz w:val="24"/>
          <w:szCs w:val="24"/>
          <w:highlight w:val="white"/>
          <w:lang w:eastAsia="ru-RU"/>
        </w:rPr>
        <w:t xml:space="preserve">Наименование банка: ОКЦ №1 ВОЛГО-ВЯТСКОГО ГУ БАНКА РОССИИ//УФК по Костромской области, г. Кострома</w:t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Cs/>
          <w:sz w:val="24"/>
          <w:szCs w:val="24"/>
          <w:highlight w:val="white"/>
        </w:rPr>
      </w:pPr>
      <w:r>
        <w:rPr>
          <w:rFonts w:ascii="Times New Roman" w:hAnsi="Times New Roman"/>
          <w:bCs/>
          <w:iCs/>
          <w:sz w:val="24"/>
          <w:szCs w:val="24"/>
          <w:highlight w:val="white"/>
          <w:lang w:eastAsia="ru-RU"/>
        </w:rPr>
        <w:t xml:space="preserve">БИК 042202103</w:t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Cs/>
          <w:sz w:val="24"/>
          <w:szCs w:val="24"/>
          <w:highlight w:val="white"/>
        </w:rPr>
      </w:pPr>
      <w:r>
        <w:rPr>
          <w:rFonts w:ascii="Times New Roman" w:hAnsi="Times New Roman"/>
          <w:bCs/>
          <w:iCs/>
          <w:sz w:val="24"/>
          <w:szCs w:val="24"/>
          <w:highlight w:val="white"/>
          <w:lang w:eastAsia="ru-RU"/>
        </w:rPr>
        <w:t xml:space="preserve">Единый казначейский счет </w:t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  <w:r>
        <w:rPr>
          <w:rFonts w:ascii="Times New Roman" w:hAnsi="Times New Roman"/>
          <w:bCs/>
          <w:i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iCs/>
          <w:sz w:val="24"/>
          <w:szCs w:val="24"/>
          <w:highlight w:val="white"/>
          <w:lang w:eastAsia="ru-RU"/>
        </w:rPr>
        <w:t xml:space="preserve">№ 40102810145370000103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Назначение платежа: обеспечение исполнения муниципального контракта на поставку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оборудования для эксплуатируемых заказчиком дыхательных аппаратов со сжатым воздухом с открытым циклом дыхания ДАСВ «Зевс»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Способ обеспечения исполнения Контракта, срок действия независимой гарантии определяются в со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ответствии с требованиями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участником закупки, с которым заключается Контракт, самостоятельно.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Срок действия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не менее чем на один месяц, в том числе в случае его изменения в соответствии со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Типовая форма независимой гарантии, предоставляемой в качестве обеспечения исполнения контракта установлена Правительством Российской Федерации.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7.3. Денежные средства, внесенные Поставщико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м в качестве обеспечения исполнения Контракта возвращаются Поставщику в срок не более 15 (пятнадцати) дней с даты исполнения Поставщиком обязательств, предусмотренных Контрактом (если такая форма обеспечения исполнения Контракта применяется Поставщиком). 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7.4. В независимую гарантию включается условие об обязанности гаранта уплатить заказчику (бенефициару) денежную сумму по независимой гарантии не позднее десяти рабочих дней со дня,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следующего за днем получения гарантом требования заказчика (бенефициара), соответствующего условиям такой независимой гарантии, при отсутствии предусмотренных Гражданским кодексом Российской Федерации оснований для отказа в удовлетворении этого требования.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Форма требования об осуществлении уплаты денежной суммы по независимой гарантии установлена Правительством Российской Федерации.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7.5. В ходе исполнения Контракта Поставщик вправе 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Контракта. 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7.6. 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та, лицензии на осуществление банковских операций,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7.7. В сл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учае предоставления нового обеспечения исполнения Контракта в соответствии с пунктами 7.5 и 7.6 Контракта возврат независимой гарантии Заказчиком гаранту, предоставившему указанную независимую гарантию, не осуществляется, взыскание по ней не производится.</w:t>
        <w:tab/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7.8. Участник закупки, с которым заключается Контракт по результатам определения Поставщика (подрядчика, исполнителя) в соответствии с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begin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 HYPERLINK "http://ivo.garant.ru/document/redirect/70353464/30101" \o "http://ivo.garant.ru/document/redirect/70353464/30101" 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separate"/>
      </w:r>
      <w:r>
        <w:rPr>
          <w:rFonts w:ascii="Times New Roman" w:hAnsi="Times New Roman"/>
          <w:bCs/>
          <w:color w:val="0000ff"/>
          <w:sz w:val="24"/>
          <w:szCs w:val="24"/>
          <w:highlight w:val="white"/>
          <w:u w:val="single"/>
          <w:lang w:eastAsia="ru-RU"/>
        </w:rPr>
        <w:t xml:space="preserve">пунктом 1 части 1 статьи 30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end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Федер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нужд», освобождается от предоставления обеспечения исполнения Контракта, в том числе с учетом положений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begin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 HYPERLINK "http://ivo.garant.ru/document/redirect/70353464/37" \o "http://ivo.garant.ru/document/redirect/70353464/37" 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separate"/>
      </w:r>
      <w:r>
        <w:rPr>
          <w:rFonts w:ascii="Times New Roman" w:hAnsi="Times New Roman"/>
          <w:bCs/>
          <w:color w:val="0000ff"/>
          <w:sz w:val="24"/>
          <w:szCs w:val="24"/>
          <w:highlight w:val="white"/>
          <w:u w:val="single"/>
          <w:lang w:eastAsia="ru-RU"/>
        </w:rPr>
        <w:t xml:space="preserve">статьи 37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end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нужд», в случае предоставления таким участником заку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такому участнику неустоек (штрафов, пеней). Такая информация представляется участником закупки до заключения Контракта в случаях, установленных Федеральным законом от 5 апреля 2013 г. № 44-ФЗ «О контрактной системе в сфере закупок товаров, работ, услуг для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 обеспечения государственных и муниципальных нужд»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VIII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Обеспечение гарантийных обязательств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8.1. Обеспечение гарантийных обязательств не устанавливается.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IX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Обстоятельства непреодолимой силы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9.2. В случае если надлежащее исполнение Стороной, предусмотренных Контрактом обязательств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X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Рассмотрение и разрешение споров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10.1.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10.2. Претензия оформляется в письменной форме. В претензии перечисляются доп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10.3. Срок рассмотрения претензии не может превышать 10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(десять) рабочих дней. Переписка Сторон осуществляется в порядке, установленном ч. 16 ст. 94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10.4. При неурегулировании Сторонами спора в досудебном порядке, спор разрешается в судебном порядке в Арбитражном суде Костромской области.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XI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Срок действия и порядок расторжения Контракта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i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11.1. Контракт вступает в силу с момента его заключения и действует по 30 декабря 2026 года. Окончание срока действия Контракта не влечет прекращения неисполненных обязательств Сторон по Контракту.  </w:t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11.2.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м законодательством Российской Федерации в порядке, предусмотренном частями 9 - 23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XII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Прочие положения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12.1.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 дополнительных соглашений к Контракту, которые являются его неотъемлемой частью.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12.4. Изменение существенных условий Кон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тракта при его исполнении не допускается, за исключением случаев, предусмотренных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12.5.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12.7. Контракт, подписанный усиленной электронной подписью уполномоченного представителя Поставщика, размещается на официальном сайте единой информационной системы в сфере закупок 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begin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instrText xml:space="preserve"> HYPERLINK "http://www.zakupki.gov.ru" \o "http://www.zakupki.gov.ru" </w:instrTex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separate"/>
      </w:r>
      <w:r>
        <w:rPr>
          <w:rFonts w:ascii="Times New Roman" w:hAnsi="Times New Roman"/>
          <w:bCs/>
          <w:color w:val="0000ff"/>
          <w:sz w:val="24"/>
          <w:szCs w:val="24"/>
          <w:highlight w:val="white"/>
          <w:u w:val="single"/>
          <w:lang w:eastAsia="ru-RU"/>
        </w:rPr>
        <w:t xml:space="preserve">http://www.zakupki.gov.ru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fldChar w:fldCharType="end"/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, и считается заключенным с момента его подписания усиленной электронной подписью уполномоченного представителя Заказчика.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12.8. Контракт составлен в форме электронного документа. После заключения Контракта Стороны вправе изготовить копию Контракта на бумажном носителе в 2 (двух) экземплярах, имеющих равную юридическую силу, по одному для Заказчика и Поставщика.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center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XIII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Перечень приложений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13.1. Неотъемлемой частью Контракта является: спецификация (приложение к Контракту).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val="en-US" w:eastAsia="ru-RU"/>
        </w:rPr>
        <w:t xml:space="preserve">XIV</w:t>
      </w: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  <w:t xml:space="preserve">. Адреса и банковские реквизиты Сторон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686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tbl>
      <w:tblPr>
        <w:tblW w:w="927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957"/>
        <w:gridCol w:w="4319"/>
      </w:tblGrid>
      <w:tr>
        <w:tblPrEx/>
        <w:trPr>
          <w:trHeight w:val="2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7" w:type="dxa"/>
            <w:vAlign w:val="top"/>
            <w:textDirection w:val="lrTb"/>
            <w:noWrap w:val="false"/>
          </w:tcPr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9" w:type="dxa"/>
            <w:vAlign w:val="top"/>
            <w:textDirection w:val="lrTb"/>
            <w:noWrap w:val="false"/>
          </w:tcPr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ПОСТАВЩИК: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7" w:type="dxa"/>
            <w:vAlign w:val="top"/>
            <w:textDirection w:val="lrTb"/>
            <w:noWrap w:val="false"/>
          </w:tcPr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Муниципальное казенное учреждение города Костромы «Центр гражданской защиты города Костромы»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Юридический/ почтовый адрес: 156007 г. Кострома, ул. Ленина, 86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тел.: (4942) 45 12 32, 45 13 12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Банковские реквизиты: 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ИНН: 4401016439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КПП: 440101001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Казначейский счет: 03231643347010004100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Наименование банка: 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ОКЦ № 1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ВОЛГО-ВЯТСКОГО ГУ БАНКА РОССИИ //УФК по Костромской области, г. Кострома 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БИК: 042202103, 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Единый казначейский счет: 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401028101145370000103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л/сч.: 9420200011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эл. почта: 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val="en-US" w:eastAsia="ru-RU"/>
              </w:rPr>
              <w:t xml:space="preserve">cgz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@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val="en-US" w:eastAsia="ru-RU"/>
              </w:rPr>
              <w:t xml:space="preserve">org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val="en-US" w:eastAsia="ru-RU"/>
              </w:rPr>
              <w:t xml:space="preserve">kostroma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val="en-US" w:eastAsia="ru-RU"/>
              </w:rPr>
              <w:t xml:space="preserve">gov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val="en-US" w:eastAsia="ru-RU"/>
              </w:rPr>
              <w:t xml:space="preserve">ru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9" w:type="dxa"/>
            <w:vAlign w:val="top"/>
            <w:textDirection w:val="lrTb"/>
            <w:noWrap w:val="false"/>
          </w:tcPr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полное наименование 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Адрес местонахождения: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ИНН 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КПП (при наличии) _________________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ОГРН 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Банковские реквизиты: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7" w:type="dxa"/>
            <w:vAlign w:val="center"/>
            <w:textDirection w:val="lrTb"/>
            <w:noWrap w:val="false"/>
          </w:tcPr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9" w:type="dxa"/>
            <w:vAlign w:val="center"/>
            <w:textDirection w:val="lrTb"/>
            <w:noWrap w:val="false"/>
          </w:tcPr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ПОСТАВЩИК: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7" w:type="dxa"/>
            <w:vAlign w:val="center"/>
            <w:textDirection w:val="lrTb"/>
            <w:noWrap w:val="false"/>
          </w:tcPr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__ _____________ 20__ г.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М.П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9" w:type="dxa"/>
            <w:vAlign w:val="center"/>
            <w:textDirection w:val="lrTb"/>
            <w:noWrap w:val="false"/>
          </w:tcPr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__ _____________ 20__ г.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86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 xml:space="preserve">М.П. (при наличии печати)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spacing w:after="0"/>
        <w:shd w:val="clear" w:color="ffffff" w:themeColor="background1" w:fill="ffffff" w:themeFill="background1"/>
        <w:widowControl w:val="off"/>
        <w:rPr>
          <w:color w:val="000000" w:themeColor="text1"/>
          <w:highlight w:val="white"/>
        </w:rPr>
      </w:pPr>
      <w:r>
        <w:rPr>
          <w:rFonts w:ascii="Century" w:hAnsi="Century" w:eastAsia="Calibri"/>
          <w:b/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686"/>
        <w:ind w:firstLine="0"/>
        <w:jc w:val="left"/>
        <w:spacing w:line="198" w:lineRule="atLeast"/>
        <w:shd w:val="clear" w:color="ffffff" w:themeColor="background1" w:fill="ffffff" w:themeFill="background1"/>
        <w:rPr>
          <w:rFonts w:eastAsia="Calibri"/>
          <w:color w:val="000000" w:themeColor="text1"/>
          <w:highlight w:val="white"/>
        </w:rPr>
        <w:sectPr>
          <w:footnotePr/>
          <w:endnotePr/>
          <w:type w:val="nextPage"/>
          <w:pgSz w:w="11906" w:h="16838" w:orient="portrait"/>
          <w:pgMar w:top="992" w:right="851" w:bottom="851" w:left="992" w:header="709" w:footer="709" w:gutter="0"/>
          <w:cols w:num="1" w:sep="0" w:space="708" w:equalWidth="1"/>
          <w:docGrid w:linePitch="360"/>
        </w:sectPr>
      </w:pPr>
      <w:r>
        <w:rPr>
          <w:rFonts w:eastAsia="Calibri"/>
          <w:color w:val="000000" w:themeColor="text1"/>
          <w:highlight w:val="white"/>
        </w:rPr>
      </w:r>
      <w:r>
        <w:rPr>
          <w:rFonts w:eastAsia="Calibri"/>
          <w:color w:val="000000" w:themeColor="text1"/>
          <w:highlight w:val="white"/>
        </w:rPr>
      </w:r>
      <w:r>
        <w:rPr>
          <w:rFonts w:eastAsia="Calibri"/>
          <w:color w:val="000000" w:themeColor="text1"/>
          <w:highlight w:val="white"/>
        </w:rPr>
      </w:r>
    </w:p>
    <w:p>
      <w:pPr>
        <w:ind w:firstLine="709"/>
        <w:jc w:val="right"/>
        <w:spacing w:line="198" w:lineRule="atLeast"/>
        <w:shd w:val="clear" w:color="ffffff" w:themeColor="background1" w:fill="ffffff" w:themeFill="background1"/>
        <w:rPr>
          <w:color w:val="000000" w:themeColor="text1"/>
          <w:highlight w:val="white"/>
        </w:rPr>
      </w:pPr>
      <w:r>
        <w:rPr>
          <w:rFonts w:eastAsia="Calibri"/>
          <w:color w:val="000000" w:themeColor="text1"/>
          <w:highlight w:val="white"/>
        </w:rPr>
        <w:t xml:space="preserve">Приложение № 1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686"/>
        <w:ind w:firstLine="709"/>
        <w:jc w:val="right"/>
        <w:spacing w:line="198" w:lineRule="atLeast"/>
        <w:shd w:val="clear" w:color="ffffff" w:themeColor="background1" w:fill="ffffff" w:themeFill="background1"/>
        <w:rPr>
          <w:color w:val="000000" w:themeColor="text1"/>
          <w:highlight w:val="white"/>
        </w:rPr>
      </w:pPr>
      <w:r>
        <w:rPr>
          <w:rFonts w:eastAsia="Calibri"/>
          <w:bCs/>
          <w:color w:val="000000" w:themeColor="text1"/>
          <w:highlight w:val="white"/>
        </w:rPr>
        <w:t xml:space="preserve">к муниципальному Контракту № ___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686"/>
        <w:ind w:firstLine="709"/>
        <w:jc w:val="right"/>
        <w:spacing w:line="198" w:lineRule="atLeast"/>
        <w:shd w:val="clear" w:color="ffffff" w:themeColor="background1" w:fill="ffffff" w:themeFill="background1"/>
        <w:rPr>
          <w:color w:val="000000" w:themeColor="text1"/>
          <w:highlight w:val="white"/>
        </w:rPr>
      </w:pPr>
      <w:r>
        <w:rPr>
          <w:rFonts w:eastAsia="Calibri"/>
          <w:bCs/>
          <w:color w:val="000000" w:themeColor="text1"/>
          <w:highlight w:val="white"/>
        </w:rPr>
        <w:t xml:space="preserve">от «___» ___________ 2026 года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686"/>
        <w:ind w:firstLine="709"/>
        <w:jc w:val="right"/>
        <w:spacing w:line="198" w:lineRule="atLeast"/>
        <w:shd w:val="clear" w:color="ffffff" w:themeColor="background1" w:fill="ffffff" w:themeFill="background1"/>
        <w:rPr>
          <w:color w:val="000000" w:themeColor="text1"/>
          <w:highlight w:val="white"/>
        </w:rPr>
      </w:pPr>
      <w:r>
        <w:rPr>
          <w:rFonts w:eastAsia="Calibri"/>
          <w:b/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686"/>
        <w:ind w:firstLine="709"/>
        <w:jc w:val="center"/>
        <w:spacing w:line="198" w:lineRule="atLeast"/>
        <w:shd w:val="clear" w:color="ffffff" w:themeColor="background1" w:fill="ffffff" w:themeFill="background1"/>
        <w:rPr>
          <w:b/>
          <w:bCs/>
          <w:color w:val="000000" w:themeColor="text1"/>
          <w:highlight w:val="white"/>
        </w:rPr>
      </w:pPr>
      <w:r>
        <w:rPr>
          <w:rFonts w:eastAsia="Calibri"/>
          <w:b/>
          <w:bCs/>
          <w:color w:val="000000" w:themeColor="text1"/>
          <w:highlight w:val="white"/>
        </w:rPr>
        <w:t xml:space="preserve">С П Е Ц И Ф И К А Ц И Я</w:t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p>
      <w:pPr>
        <w:pStyle w:val="686"/>
        <w:ind w:firstLine="709"/>
        <w:jc w:val="center"/>
        <w:spacing w:line="198" w:lineRule="atLeast"/>
        <w:shd w:val="clear" w:color="ffffff" w:themeColor="background1" w:fill="ffffff" w:themeFill="background1"/>
        <w:rPr>
          <w:rFonts w:ascii="Times New Roman" w:hAnsi="Times New Roman"/>
          <w:b/>
          <w:bCs/>
          <w:sz w:val="24"/>
          <w:szCs w:val="24"/>
          <w:highlight w:val="white"/>
        </w:rPr>
        <w:outlineLvl w:val="1"/>
      </w:pPr>
      <w:r>
        <w:rPr>
          <w:rFonts w:eastAsia="Calibri"/>
          <w:b/>
          <w:bCs/>
          <w:color w:val="000000" w:themeColor="text1"/>
          <w:highlight w:val="white"/>
        </w:rPr>
        <w:t xml:space="preserve">на поставку </w:t>
      </w: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  <w:t xml:space="preserve">оборудования для эксплуатируемых заказчиком дыхательных аппаратов </w:t>
      </w:r>
      <w:r>
        <w:rPr>
          <w:b/>
          <w:bCs/>
          <w:color w:val="000000" w:themeColor="text1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p>
      <w:pPr>
        <w:ind w:firstLine="709"/>
        <w:jc w:val="center"/>
        <w:spacing w:line="198" w:lineRule="atLeast"/>
        <w:shd w:val="clear" w:color="ffffff" w:themeColor="background1" w:fill="ffffff" w:themeFill="background1"/>
        <w:rPr>
          <w:b/>
          <w:bCs/>
          <w:color w:val="000000" w:themeColor="text1"/>
          <w:highlight w:val="white"/>
        </w:rPr>
        <w:outlineLvl w:val="1"/>
      </w:pP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  <w:t xml:space="preserve">со сжатым воздухом с открытым циклом дыхания ДАСВ «Зевс»</w:t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tbl>
      <w:tblPr>
        <w:tblW w:w="13798" w:type="dxa"/>
        <w:tblInd w:w="-85" w:type="dxa"/>
        <w:tblLayout w:type="fixed"/>
        <w:tblCellMar>
          <w:left w:w="46" w:type="dxa"/>
          <w:top w:w="0" w:type="dxa"/>
          <w:right w:w="76" w:type="dxa"/>
          <w:bottom w:w="0" w:type="dxa"/>
        </w:tblCellMar>
        <w:tblLook w:val="04A0" w:firstRow="1" w:lastRow="0" w:firstColumn="1" w:lastColumn="0" w:noHBand="0" w:noVBand="1"/>
      </w:tblPr>
      <w:tblGrid>
        <w:gridCol w:w="590"/>
        <w:gridCol w:w="1958"/>
        <w:gridCol w:w="2111"/>
        <w:gridCol w:w="1328"/>
        <w:gridCol w:w="1031"/>
        <w:gridCol w:w="1851"/>
        <w:gridCol w:w="2423"/>
        <w:gridCol w:w="2506"/>
      </w:tblGrid>
      <w:tr>
        <w:tblPrEx/>
        <w:trPr>
          <w:trHeight w:val="1377"/>
        </w:trPr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№ п/п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958" w:type="dxa"/>
            <w:vAlign w:val="center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Наименование поставляемого Товара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111" w:type="dxa"/>
            <w:vAlign w:val="center"/>
            <w:textDirection w:val="lrTb"/>
            <w:noWrap w:val="false"/>
          </w:tcPr>
          <w:p>
            <w:pPr>
              <w:pStyle w:val="686"/>
              <w:contextualSpacing/>
              <w:ind w:left="33" w:right="-1"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Характеристики поставляемого Товара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1328" w:type="dxa"/>
            <w:vAlign w:val="center"/>
            <w:textDirection w:val="lrTb"/>
            <w:noWrap w:val="false"/>
          </w:tcPr>
          <w:p>
            <w:pPr>
              <w:pStyle w:val="686"/>
              <w:contextualSpacing/>
              <w:ind w:left="-5" w:right="-1"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Товарный знак 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pStyle w:val="686"/>
              <w:contextualSpacing/>
              <w:ind w:left="-5" w:right="-1"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(при наличии)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1031" w:type="dxa"/>
            <w:vAlign w:val="center"/>
            <w:textDirection w:val="lrTb"/>
            <w:noWrap w:val="false"/>
          </w:tcPr>
          <w:p>
            <w:pPr>
              <w:pStyle w:val="686"/>
              <w:contextualSpacing/>
              <w:ind w:left="-5" w:right="-1"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Кол-во, шт.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1851" w:type="dxa"/>
            <w:vAlign w:val="center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Наименование страны происхождения товара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423" w:type="dxa"/>
            <w:vAlign w:val="center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Цена за единицу, в том числе НДС / 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без учета НДС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, руб.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506" w:type="dxa"/>
            <w:vAlign w:val="center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Общая сумма, в том числе НДС / 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без учета НДС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, руб.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13"/>
        </w:trPr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1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958" w:type="dxa"/>
            <w:vAlign w:val="center"/>
            <w:textDirection w:val="lrTb"/>
            <w:noWrap w:val="false"/>
          </w:tcPr>
          <w:p>
            <w:pPr>
              <w:pStyle w:val="686"/>
              <w:contextualSpacing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111" w:type="dxa"/>
            <w:vAlign w:val="top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both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1328" w:type="dxa"/>
            <w:vAlign w:val="top"/>
            <w:textDirection w:val="lrTb"/>
            <w:noWrap w:val="false"/>
          </w:tcPr>
          <w:p>
            <w:pPr>
              <w:pStyle w:val="686"/>
              <w:contextualSpacing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1031" w:type="dxa"/>
            <w:vAlign w:val="center"/>
            <w:textDirection w:val="lrTb"/>
            <w:noWrap w:val="false"/>
          </w:tcPr>
          <w:p>
            <w:pPr>
              <w:pStyle w:val="686"/>
              <w:contextualSpacing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1851" w:type="dxa"/>
            <w:vAlign w:val="top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both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423" w:type="dxa"/>
            <w:vAlign w:val="top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both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506" w:type="dxa"/>
            <w:vAlign w:val="top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both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13"/>
        </w:trPr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590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  <w:t xml:space="preserve">2</w:t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958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contextualSpacing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111" w:type="dxa"/>
            <w:vAlign w:val="top"/>
            <w:vMerge w:val="restart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both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1328" w:type="dxa"/>
            <w:vAlign w:val="top"/>
            <w:vMerge w:val="restart"/>
            <w:textDirection w:val="lrTb"/>
            <w:noWrap w:val="false"/>
          </w:tcPr>
          <w:p>
            <w:pPr>
              <w:pStyle w:val="686"/>
              <w:contextualSpacing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1031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contextualSpacing/>
              <w:jc w:val="center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1851" w:type="dxa"/>
            <w:vAlign w:val="top"/>
            <w:vMerge w:val="restart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both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423" w:type="dxa"/>
            <w:vAlign w:val="top"/>
            <w:vMerge w:val="restart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both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506" w:type="dxa"/>
            <w:vAlign w:val="top"/>
            <w:vMerge w:val="restart"/>
            <w:textDirection w:val="lrTb"/>
            <w:noWrap w:val="false"/>
          </w:tcPr>
          <w:p>
            <w:pPr>
              <w:pStyle w:val="686"/>
              <w:contextualSpacing/>
              <w:ind w:right="-1"/>
              <w:jc w:val="both"/>
              <w:shd w:val="clear" w:color="ffffff" w:themeColor="background1" w:fill="ffffff" w:themeFill="background1"/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strike w:val="0"/>
                <w:color w:val="000000" w:themeColor="text1"/>
                <w:sz w:val="22"/>
                <w:szCs w:val="22"/>
                <w:highlight w:val="white"/>
              </w:rPr>
            </w:r>
          </w:p>
        </w:tc>
      </w:tr>
    </w:tbl>
    <w:p>
      <w:pPr>
        <w:pStyle w:val="686"/>
        <w:jc w:val="both"/>
        <w:shd w:val="clear" w:color="ffffff" w:themeColor="background1" w:fill="ffffff" w:themeFill="background1"/>
        <w:tabs>
          <w:tab w:val="left" w:pos="5370" w:leader="none"/>
        </w:tabs>
        <w:rPr>
          <w:strike/>
          <w:color w:val="000000" w:themeColor="text1"/>
          <w:highlight w:val="white"/>
        </w:rPr>
      </w:pPr>
      <w:r>
        <w:rPr>
          <w:b/>
          <w:strike/>
          <w:color w:val="000000" w:themeColor="text1"/>
          <w:highlight w:val="white"/>
        </w:rPr>
      </w:r>
      <w:r>
        <w:rPr>
          <w:strike/>
          <w:color w:val="000000" w:themeColor="text1"/>
          <w:highlight w:val="white"/>
        </w:rPr>
      </w:r>
      <w:r>
        <w:rPr>
          <w:strike/>
          <w:color w:val="000000" w:themeColor="text1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color w:val="000000" w:themeColor="text1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p>
      <w:pPr>
        <w:ind w:firstLine="567"/>
        <w:jc w:val="both"/>
        <w:spacing w:line="198" w:lineRule="atLeast"/>
        <w:shd w:val="clear" w:color="ffffff" w:themeColor="background1" w:fill="ffffff" w:themeFill="background1"/>
        <w:tabs>
          <w:tab w:val="left" w:pos="993" w:leader="none"/>
        </w:tabs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tbl>
      <w:tblPr>
        <w:tblW w:w="9496" w:type="dxa"/>
        <w:jc w:val="center"/>
        <w:tblInd w:w="0" w:type="dxa"/>
        <w:tblLayout w:type="fixed"/>
        <w:tblCellMar>
          <w:left w:w="17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957"/>
        <w:gridCol w:w="4539"/>
      </w:tblGrid>
      <w:tr>
        <w:tblPrEx/>
        <w:trPr>
          <w:trHeight w:val="28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956" w:type="dxa"/>
            <w:vAlign w:val="center"/>
            <w:textDirection w:val="lrTb"/>
            <w:noWrap w:val="false"/>
          </w:tcPr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/>
                <w:bCs/>
                <w:color w:val="000000" w:themeColor="text1"/>
                <w:highlight w:val="white"/>
              </w:rPr>
              <w:t xml:space="preserve">ЗАКАЗЧИК: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539" w:type="dxa"/>
            <w:vAlign w:val="center"/>
            <w:textDirection w:val="lrTb"/>
            <w:noWrap w:val="false"/>
          </w:tcPr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/>
                <w:bCs/>
                <w:color w:val="000000" w:themeColor="text1"/>
                <w:highlight w:val="white"/>
              </w:rPr>
              <w:t xml:space="preserve">ПОСТАВЩИК: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>
          <w:trHeight w:val="732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956" w:type="dxa"/>
            <w:vAlign w:val="center"/>
            <w:textDirection w:val="lrTb"/>
            <w:noWrap w:val="false"/>
          </w:tcPr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_______________________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(должность)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________________________________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(подпись, фамилия и инициалы)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__ _____________ 20__ г.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М.П. (при наличии печати)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539" w:type="dxa"/>
            <w:vAlign w:val="center"/>
            <w:textDirection w:val="lrTb"/>
            <w:noWrap w:val="false"/>
          </w:tcPr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_______________________________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(должность)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_______________________________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(подпись, фамилия и инициалы)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__ _____________ 20__ г.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686"/>
              <w:ind w:firstLine="709"/>
              <w:jc w:val="center"/>
              <w:spacing w:line="198" w:lineRule="atLeast"/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М.П. (при наличии печати)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</w:tbl>
    <w:p>
      <w:pPr>
        <w:pStyle w:val="686"/>
        <w:jc w:val="center"/>
        <w:shd w:val="clear" w:color="ffffff" w:themeColor="background1" w:fill="ffffff" w:themeFill="background1"/>
        <w:widowControl w:val="off"/>
        <w:rPr>
          <w:rFonts w:eastAsia="Calibri" w:cs="Mangal"/>
          <w:bCs/>
          <w:i/>
          <w:color w:val="000000" w:themeColor="text1"/>
          <w:sz w:val="18"/>
          <w:szCs w:val="18"/>
          <w:highlight w:val="white"/>
        </w:rPr>
      </w:pPr>
      <w:r>
        <w:rPr>
          <w:b/>
          <w:color w:val="000000" w:themeColor="text1"/>
          <w:highlight w:val="white"/>
        </w:rPr>
      </w:r>
      <w:r>
        <w:rPr>
          <w:rFonts w:eastAsia="Calibri" w:cs="Mangal"/>
          <w:bCs/>
          <w:i/>
          <w:color w:val="000000" w:themeColor="text1"/>
          <w:sz w:val="18"/>
          <w:szCs w:val="18"/>
          <w:highlight w:val="white"/>
        </w:rPr>
      </w:r>
      <w:r>
        <w:rPr>
          <w:rFonts w:eastAsia="Calibri" w:cs="Mangal"/>
          <w:bCs/>
          <w:i/>
          <w:color w:val="000000" w:themeColor="text1"/>
          <w:sz w:val="18"/>
          <w:szCs w:val="18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b/>
          <w:bCs/>
          <w:color w:val="000000" w:themeColor="text1"/>
          <w:highlight w:val="white"/>
        </w:rPr>
      </w:pPr>
      <w:r>
        <w:rPr>
          <w:b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sectPr>
      <w:footnotePr/>
      <w:endnotePr/>
      <w:type w:val="continuous"/>
      <w:pgSz w:w="16838" w:h="11906" w:orient="landscape"/>
      <w:pgMar w:top="992" w:right="992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Wingdings">
    <w:panose1 w:val="05000000000000000000"/>
  </w:font>
  <w:font w:name="Mangal">
    <w:panose1 w:val="02040503050203030202"/>
  </w:font>
  <w:font w:name="Courier New">
    <w:panose1 w:val="02070309020205020404"/>
  </w:font>
  <w:font w:name="Lucida Sans Unicode">
    <w:panose1 w:val="020B0602030504020204"/>
  </w:font>
  <w:font w:name="Liberation Serif">
    <w:panose1 w:val="02020603050405020304"/>
  </w:font>
  <w:font w:name="Segoe UI">
    <w:panose1 w:val="020B0502040204020203"/>
  </w:font>
  <w:font w:name="Times New Roman">
    <w:panose1 w:val="02020603050405020304"/>
  </w:font>
  <w:font w:name="Century">
    <w:panose1 w:val="02040604050505020304"/>
  </w:font>
  <w:font w:name="NSimSun">
    <w:panose1 w:val="02010609030101010101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</w:pPr>
      <w:rPr>
        <w:rFonts w:eastAsia="Lucida Sans Unicode"/>
        <w:color w:val="000000"/>
        <w:lang w:val="ru-RU" w:eastAsia="en-US"/>
      </w:rPr>
    </w:lvl>
  </w:abstractNum>
  <w:abstractNum w:abstractNumId="1">
    <w:multiLevelType w:val="hybridMultilevel"/>
    <w:styleLink w:val="876"/>
    <w:lvl w:ilvl="0">
      <w:start w:val="1"/>
      <w:numFmt w:val="none"/>
      <w:pStyle w:val="876"/>
      <w:isLgl w:val="false"/>
      <w:suff w:val="nothing"/>
      <w:lvlText w:val="%1"/>
      <w:lvlJc w:val="left"/>
      <w:pPr/>
      <w:rPr>
        <w:b/>
        <w:sz w:val="24"/>
        <w:lang w:eastAsia="ar-SA"/>
      </w:rPr>
    </w:lvl>
    <w:lvl w:ilvl="1">
      <w:start w:val="1"/>
      <w:numFmt w:val="none"/>
      <w:isLgl w:val="false"/>
      <w:suff w:val="nothing"/>
      <w:lvlText w:val="%2"/>
      <w:lvlJc w:val="left"/>
      <w:pPr/>
    </w:lvl>
    <w:lvl w:ilvl="2">
      <w:start w:val="1"/>
      <w:numFmt w:val="none"/>
      <w:isLgl w:val="false"/>
      <w:suff w:val="nothing"/>
      <w:lvlText w:val="%3"/>
      <w:lvlJc w:val="left"/>
      <w:pPr/>
    </w:lvl>
    <w:lvl w:ilvl="3">
      <w:start w:val="1"/>
      <w:numFmt w:val="none"/>
      <w:isLgl w:val="false"/>
      <w:suff w:val="nothing"/>
      <w:lvlText w:val="%4"/>
      <w:lvlJc w:val="left"/>
      <w:pPr/>
    </w:lvl>
    <w:lvl w:ilvl="4">
      <w:start w:val="1"/>
      <w:numFmt w:val="none"/>
      <w:isLgl w:val="false"/>
      <w:suff w:val="nothing"/>
      <w:lvlText w:val="%5"/>
      <w:lvlJc w:val="left"/>
      <w:pPr/>
    </w:lvl>
    <w:lvl w:ilvl="5">
      <w:start w:val="1"/>
      <w:numFmt w:val="none"/>
      <w:isLgl w:val="false"/>
      <w:suff w:val="nothing"/>
      <w:lvlText w:val="%6"/>
      <w:lvlJc w:val="left"/>
      <w:pPr/>
    </w:lvl>
    <w:lvl w:ilvl="6">
      <w:start w:val="1"/>
      <w:numFmt w:val="none"/>
      <w:isLgl w:val="false"/>
      <w:suff w:val="nothing"/>
      <w:lvlText w:val="%7"/>
      <w:lvlJc w:val="left"/>
      <w:pPr/>
    </w:lvl>
    <w:lvl w:ilvl="7">
      <w:start w:val="1"/>
      <w:numFmt w:val="none"/>
      <w:isLgl w:val="false"/>
      <w:suff w:val="nothing"/>
      <w:lvlText w:val="%8"/>
      <w:lvlJc w:val="left"/>
      <w:pPr/>
    </w:lvl>
    <w:lvl w:ilvl="8">
      <w:start w:val="1"/>
      <w:numFmt w:val="none"/>
      <w:isLgl w:val="false"/>
      <w:suff w:val="nothing"/>
      <w:lvlText w:val="%9"/>
      <w:lvlJc w:val="left"/>
      <w:pPr/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360"/>
        <w:tabs>
          <w:tab w:val="num" w:pos="54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styleLink w:val="875"/>
    <w:lvl w:ilvl="0">
      <w:start w:val="1"/>
      <w:numFmt w:val="decimal"/>
      <w:pStyle w:val="875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1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0">
    <w:name w:val="Heading 1 Char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671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672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673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674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675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676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678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679">
    <w:name w:val="Title Char"/>
    <w:basedOn w:val="696"/>
    <w:link w:val="710"/>
    <w:uiPriority w:val="10"/>
    <w:rPr>
      <w:sz w:val="48"/>
      <w:szCs w:val="48"/>
    </w:rPr>
  </w:style>
  <w:style w:type="character" w:styleId="680">
    <w:name w:val="Subtitle Char"/>
    <w:basedOn w:val="696"/>
    <w:link w:val="712"/>
    <w:uiPriority w:val="11"/>
    <w:rPr>
      <w:sz w:val="24"/>
      <w:szCs w:val="24"/>
    </w:rPr>
  </w:style>
  <w:style w:type="character" w:styleId="681">
    <w:name w:val="Quote Char"/>
    <w:link w:val="714"/>
    <w:uiPriority w:val="29"/>
    <w:rPr>
      <w:i/>
    </w:rPr>
  </w:style>
  <w:style w:type="character" w:styleId="682">
    <w:name w:val="Intense Quote Char"/>
    <w:link w:val="716"/>
    <w:uiPriority w:val="30"/>
    <w:rPr>
      <w:i/>
    </w:rPr>
  </w:style>
  <w:style w:type="character" w:styleId="683">
    <w:name w:val="Header Char"/>
    <w:basedOn w:val="696"/>
    <w:link w:val="718"/>
    <w:uiPriority w:val="99"/>
  </w:style>
  <w:style w:type="character" w:styleId="684">
    <w:name w:val="Caption Char"/>
    <w:basedOn w:val="722"/>
    <w:link w:val="720"/>
    <w:uiPriority w:val="99"/>
  </w:style>
  <w:style w:type="character" w:styleId="685">
    <w:name w:val="Endnote Text Char"/>
    <w:link w:val="851"/>
    <w:uiPriority w:val="99"/>
    <w:rPr>
      <w:sz w:val="20"/>
    </w:rPr>
  </w:style>
  <w:style w:type="paragraph" w:styleId="686" w:default="1">
    <w:name w:val="Normal"/>
    <w:qFormat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87">
    <w:name w:val="Heading 1"/>
    <w:basedOn w:val="686"/>
    <w:next w:val="686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8">
    <w:name w:val="Heading 2"/>
    <w:basedOn w:val="686"/>
    <w:next w:val="686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9">
    <w:name w:val="Heading 3"/>
    <w:basedOn w:val="686"/>
    <w:next w:val="686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2">
    <w:name w:val="Heading 6"/>
    <w:basedOn w:val="686"/>
    <w:next w:val="686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basedOn w:val="696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686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after="0" w:line="240" w:lineRule="auto"/>
    </w:pPr>
  </w:style>
  <w:style w:type="paragraph" w:styleId="710">
    <w:name w:val="Title"/>
    <w:basedOn w:val="686"/>
    <w:next w:val="686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 w:customStyle="1">
    <w:name w:val="Заголовок Знак"/>
    <w:basedOn w:val="696"/>
    <w:link w:val="710"/>
    <w:uiPriority w:val="10"/>
    <w:rPr>
      <w:sz w:val="48"/>
      <w:szCs w:val="48"/>
    </w:rPr>
  </w:style>
  <w:style w:type="paragraph" w:styleId="712">
    <w:name w:val="Subtitle"/>
    <w:basedOn w:val="686"/>
    <w:next w:val="686"/>
    <w:link w:val="713"/>
    <w:uiPriority w:val="11"/>
    <w:qFormat/>
    <w:pPr>
      <w:spacing w:before="200" w:after="200"/>
    </w:pPr>
  </w:style>
  <w:style w:type="character" w:styleId="713" w:customStyle="1">
    <w:name w:val="Подзаголовок Знак"/>
    <w:basedOn w:val="696"/>
    <w:link w:val="712"/>
    <w:uiPriority w:val="11"/>
    <w:rPr>
      <w:sz w:val="24"/>
      <w:szCs w:val="24"/>
    </w:rPr>
  </w:style>
  <w:style w:type="paragraph" w:styleId="714">
    <w:name w:val="Quote"/>
    <w:basedOn w:val="686"/>
    <w:next w:val="686"/>
    <w:link w:val="715"/>
    <w:uiPriority w:val="29"/>
    <w:qFormat/>
    <w:pPr>
      <w:ind w:left="720" w:right="720"/>
    </w:pPr>
    <w:rPr>
      <w:i/>
    </w:rPr>
  </w:style>
  <w:style w:type="character" w:styleId="715" w:customStyle="1">
    <w:name w:val="Цитата 2 Знак"/>
    <w:link w:val="714"/>
    <w:uiPriority w:val="29"/>
    <w:rPr>
      <w:i/>
    </w:rPr>
  </w:style>
  <w:style w:type="paragraph" w:styleId="716">
    <w:name w:val="Intense Quote"/>
    <w:basedOn w:val="686"/>
    <w:next w:val="686"/>
    <w:link w:val="71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 w:customStyle="1">
    <w:name w:val="Выделенная цитата Знак"/>
    <w:link w:val="716"/>
    <w:uiPriority w:val="30"/>
    <w:rPr>
      <w:i/>
    </w:rPr>
  </w:style>
  <w:style w:type="paragraph" w:styleId="718">
    <w:name w:val="Header"/>
    <w:basedOn w:val="686"/>
    <w:link w:val="71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9" w:customStyle="1">
    <w:name w:val="Верхний колонтитул Знак"/>
    <w:basedOn w:val="696"/>
    <w:link w:val="718"/>
    <w:uiPriority w:val="99"/>
  </w:style>
  <w:style w:type="paragraph" w:styleId="720">
    <w:name w:val="Footer"/>
    <w:basedOn w:val="686"/>
    <w:link w:val="72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1" w:customStyle="1">
    <w:name w:val="Footer Char"/>
    <w:basedOn w:val="696"/>
    <w:uiPriority w:val="99"/>
  </w:style>
  <w:style w:type="paragraph" w:styleId="722">
    <w:name w:val="Caption"/>
    <w:basedOn w:val="686"/>
    <w:next w:val="686"/>
    <w:link w:val="68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3" w:customStyle="1">
    <w:name w:val="Нижний колонтитул Знак"/>
    <w:link w:val="720"/>
    <w:uiPriority w:val="99"/>
  </w:style>
  <w:style w:type="table" w:styleId="724">
    <w:name w:val="Table Grid"/>
    <w:basedOn w:val="69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5" w:customStyle="1">
    <w:name w:val="Table Grid Light"/>
    <w:basedOn w:val="69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6">
    <w:name w:val="Plain Table 1"/>
    <w:basedOn w:val="69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69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 w:customStyle="1">
    <w:name w:val="Grid Table 4 - Accent 1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4" w:customStyle="1">
    <w:name w:val="Grid Table 4 - Accent 2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5" w:customStyle="1">
    <w:name w:val="Grid Table 4 - Accent 3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6" w:customStyle="1">
    <w:name w:val="Grid Table 4 - Accent 4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7" w:customStyle="1">
    <w:name w:val="Grid Table 4 - Accent 5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8" w:customStyle="1">
    <w:name w:val="Grid Table 4 - Accent 6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9">
    <w:name w:val="Grid Table 5 Dark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6">
    <w:name w:val="Grid Table 6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7" w:customStyle="1">
    <w:name w:val="Grid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8" w:customStyle="1">
    <w:name w:val="Grid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9" w:customStyle="1">
    <w:name w:val="Grid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0" w:customStyle="1">
    <w:name w:val="Grid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1" w:customStyle="1">
    <w:name w:val="Grid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2" w:customStyle="1">
    <w:name w:val="Grid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3">
    <w:name w:val="Grid Table 7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 w:customStyle="1">
    <w:name w:val="Grid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6" w:customStyle="1">
    <w:name w:val="Grid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 w:customStyle="1">
    <w:name w:val="Grid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 w:customStyle="1">
    <w:name w:val="Grid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>
    <w:name w:val="List Table 1 Light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1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2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3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4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5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6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>
    <w:name w:val="List Table 6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6" w:customStyle="1">
    <w:name w:val="List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7" w:customStyle="1">
    <w:name w:val="List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8" w:customStyle="1">
    <w:name w:val="List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9" w:customStyle="1">
    <w:name w:val="List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0" w:customStyle="1">
    <w:name w:val="List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1" w:customStyle="1">
    <w:name w:val="List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2">
    <w:name w:val="List Table 7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st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st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st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ned - Accent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Lined - Accent 1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1" w:customStyle="1">
    <w:name w:val="Lined - Accent 2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2" w:customStyle="1">
    <w:name w:val="Lined - Accent 3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3" w:customStyle="1">
    <w:name w:val="Lined - Accent 4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4" w:customStyle="1">
    <w:name w:val="Lined - Accent 5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5" w:customStyle="1">
    <w:name w:val="Lined - Accent 6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6" w:customStyle="1">
    <w:name w:val="Bordered &amp; Lined - Accent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7" w:customStyle="1">
    <w:name w:val="Bordered &amp; Lined - Accent 1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8" w:customStyle="1">
    <w:name w:val="Bordered &amp; Lined - Accent 2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9" w:customStyle="1">
    <w:name w:val="Bordered &amp; Lined - Accent 3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0" w:customStyle="1">
    <w:name w:val="Bordered &amp; Lined - Accent 4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1" w:customStyle="1">
    <w:name w:val="Bordered &amp; Lined - Accent 5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2" w:customStyle="1">
    <w:name w:val="Bordered &amp; Lined - Accent 6"/>
    <w:basedOn w:val="69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3" w:customStyle="1">
    <w:name w:val="Bordered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4" w:customStyle="1">
    <w:name w:val="Bordered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5" w:customStyle="1">
    <w:name w:val="Bordered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6" w:customStyle="1">
    <w:name w:val="Bordered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7" w:customStyle="1">
    <w:name w:val="Bordered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8" w:customStyle="1">
    <w:name w:val="Bordered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9" w:customStyle="1">
    <w:name w:val="Bordered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0" w:customStyle="1">
    <w:name w:val="Footnote Text Char"/>
    <w:uiPriority w:val="99"/>
    <w:rPr>
      <w:sz w:val="18"/>
    </w:rPr>
  </w:style>
  <w:style w:type="paragraph" w:styleId="851">
    <w:name w:val="endnote text"/>
    <w:basedOn w:val="686"/>
    <w:link w:val="852"/>
    <w:uiPriority w:val="99"/>
    <w:semiHidden/>
    <w:unhideWhenUsed/>
    <w:rPr>
      <w:sz w:val="20"/>
    </w:rPr>
  </w:style>
  <w:style w:type="character" w:styleId="852" w:customStyle="1">
    <w:name w:val="Текст концевой сноски Знак"/>
    <w:link w:val="851"/>
    <w:uiPriority w:val="99"/>
    <w:rPr>
      <w:sz w:val="20"/>
    </w:rPr>
  </w:style>
  <w:style w:type="character" w:styleId="853">
    <w:name w:val="endnote reference"/>
    <w:basedOn w:val="696"/>
    <w:uiPriority w:val="99"/>
    <w:semiHidden/>
    <w:unhideWhenUsed/>
    <w:rPr>
      <w:vertAlign w:val="superscript"/>
    </w:rPr>
  </w:style>
  <w:style w:type="paragraph" w:styleId="854">
    <w:name w:val="toc 1"/>
    <w:basedOn w:val="686"/>
    <w:next w:val="686"/>
    <w:uiPriority w:val="39"/>
    <w:unhideWhenUsed/>
    <w:pPr>
      <w:spacing w:after="57"/>
    </w:pPr>
  </w:style>
  <w:style w:type="paragraph" w:styleId="855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6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7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58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59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60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61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62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686"/>
    <w:next w:val="686"/>
    <w:uiPriority w:val="99"/>
    <w:unhideWhenUsed/>
  </w:style>
  <w:style w:type="character" w:styleId="865" w:customStyle="1">
    <w:name w:val="Текст сноски Знак"/>
    <w:basedOn w:val="696"/>
    <w:link w:val="866"/>
    <w:semiHidden/>
    <w:rPr>
      <w:rFonts w:ascii="Times New Roman" w:hAnsi="Times New Roman" w:eastAsia="Times New Roman" w:cs="Times New Roman"/>
    </w:rPr>
  </w:style>
  <w:style w:type="paragraph" w:styleId="866">
    <w:name w:val="footnote text"/>
    <w:basedOn w:val="686"/>
    <w:link w:val="865"/>
    <w:unhideWhenUsed/>
    <w:qFormat/>
    <w:pPr>
      <w:jc w:val="left"/>
    </w:pPr>
    <w:rPr>
      <w:sz w:val="22"/>
      <w:szCs w:val="22"/>
    </w:rPr>
  </w:style>
  <w:style w:type="character" w:styleId="867" w:customStyle="1">
    <w:name w:val="Текст сноски Знак1"/>
    <w:basedOn w:val="696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character" w:styleId="868">
    <w:name w:val="footnote reference"/>
    <w:unhideWhenUsed/>
    <w:qFormat/>
    <w:rPr>
      <w:vertAlign w:val="superscript"/>
    </w:rPr>
  </w:style>
  <w:style w:type="character" w:styleId="869">
    <w:name w:val="Hyperlink"/>
    <w:basedOn w:val="696"/>
    <w:uiPriority w:val="99"/>
    <w:unhideWhenUsed/>
    <w:rPr>
      <w:color w:val="0000ff"/>
      <w:u w:val="single"/>
    </w:rPr>
  </w:style>
  <w:style w:type="paragraph" w:styleId="870">
    <w:name w:val="Balloon Text"/>
    <w:basedOn w:val="686"/>
    <w:link w:val="87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71" w:customStyle="1">
    <w:name w:val="Текст выноски Знак"/>
    <w:basedOn w:val="696"/>
    <w:link w:val="870"/>
    <w:uiPriority w:val="99"/>
    <w:semiHidden/>
    <w:rPr>
      <w:rFonts w:ascii="Segoe UI" w:hAnsi="Segoe UI" w:eastAsia="Times New Roman" w:cs="Segoe UI"/>
      <w:sz w:val="18"/>
      <w:szCs w:val="18"/>
    </w:rPr>
  </w:style>
  <w:style w:type="character" w:styleId="872" w:customStyle="1">
    <w:name w:val="Привязка сноски"/>
    <w:rPr>
      <w:vertAlign w:val="superscript"/>
    </w:rPr>
  </w:style>
  <w:style w:type="character" w:styleId="873" w:customStyle="1">
    <w:name w:val="Интернет-ссылка"/>
    <w:basedOn w:val="696"/>
    <w:uiPriority w:val="99"/>
    <w:semiHidden/>
    <w:unhideWhenUsed/>
    <w:rPr>
      <w:color w:val="0563c1" w:themeColor="hyperlink"/>
      <w:u w:val="single"/>
    </w:rPr>
  </w:style>
  <w:style w:type="paragraph" w:styleId="874" w:customStyle="1">
    <w:name w:val="Standard"/>
    <w:pPr>
      <w:spacing w:after="0" w:line="240" w:lineRule="auto"/>
    </w:pPr>
    <w:rPr>
      <w:rFonts w:ascii="Liberation Serif" w:hAnsi="Liberation Serif" w:eastAsia="NSimSun" w:cs="Arial"/>
      <w:sz w:val="24"/>
      <w:szCs w:val="24"/>
      <w:lang w:eastAsia="zh-CN" w:bidi="hi-IN"/>
    </w:rPr>
  </w:style>
  <w:style w:type="numbering" w:styleId="875" w:customStyle="1">
    <w:name w:val="WWNum1"/>
    <w:basedOn w:val="698"/>
    <w:pPr>
      <w:numPr>
        <w:ilvl w:val="0"/>
        <w:numId w:val="5"/>
      </w:numPr>
    </w:pPr>
  </w:style>
  <w:style w:type="numbering" w:styleId="876" w:customStyle="1">
    <w:name w:val="WWNum2"/>
    <w:basedOn w:val="698"/>
    <w:pPr>
      <w:numPr>
        <w:ilvl w:val="0"/>
        <w:numId w:val="6"/>
      </w:numPr>
    </w:pPr>
  </w:style>
  <w:style w:type="character" w:styleId="877" w:customStyle="1">
    <w:name w:val="Символ сноски"/>
    <w:qFormat/>
  </w:style>
  <w:style w:type="character" w:styleId="878" w:customStyle="1">
    <w:name w:val="Footnote Characters"/>
    <w:qFormat/>
    <w:rPr>
      <w:vertAlign w:val="superscript"/>
    </w:rPr>
  </w:style>
  <w:style w:type="paragraph" w:styleId="879" w:customStyle="1">
    <w:name w:val="Footnote"/>
    <w:basedOn w:val="874"/>
    <w:pPr>
      <w:ind w:left="340" w:hanging="340"/>
    </w:pPr>
    <w:rPr>
      <w:rFonts w:eastAsia="Times New Roman" w:cs="Times New Roman"/>
      <w:color w:val="000000"/>
      <w:sz w:val="20"/>
      <w:szCs w:val="20"/>
      <w:lang w:eastAsia="ru-RU" w:bidi="ar-SA"/>
    </w:rPr>
  </w:style>
  <w:style w:type="character" w:styleId="880" w:customStyle="1">
    <w:name w:val="Гипертекстовая ссылка"/>
    <w:basedOn w:val="696"/>
    <w:uiPriority w:val="99"/>
    <w:rPr>
      <w:b w:val="0"/>
      <w:bCs w:val="0"/>
      <w:color w:val="106bbe"/>
    </w:rPr>
  </w:style>
  <w:style w:type="paragraph" w:styleId="881" w:customStyle="1">
    <w:name w:val="ConsPlusNormal"/>
    <w:link w:val="882"/>
    <w:qFormat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character" w:styleId="882" w:customStyle="1">
    <w:name w:val="ConsPlusNormal Знак"/>
    <w:link w:val="881"/>
    <w:rPr>
      <w:rFonts w:ascii="Arial" w:hAnsi="Arial" w:eastAsia="Times New Roman" w:cs="Arial"/>
      <w:sz w:val="20"/>
      <w:szCs w:val="20"/>
    </w:rPr>
  </w:style>
  <w:style w:type="paragraph" w:styleId="883" w:customStyle="1">
    <w:name w:val="headertext"/>
    <w:next w:val="846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C0E6C-6112-45C1-9625-5FB2657D8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Администрация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Устинова Юлия Олеговна</dc:creator>
  <cp:keywords/>
  <dc:description/>
  <cp:lastModifiedBy>KulikovaYV</cp:lastModifiedBy>
  <cp:revision>832</cp:revision>
  <dcterms:created xsi:type="dcterms:W3CDTF">2022-01-19T13:03:00Z</dcterms:created>
  <dcterms:modified xsi:type="dcterms:W3CDTF">2026-08-03T13:08:05Z</dcterms:modified>
</cp:coreProperties>
</file>