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60"/>
        <w:jc w:val="right"/>
        <w:keepNext/>
        <w:outlineLvl w:val="1"/>
      </w:pPr>
      <w:r>
        <w:t xml:space="preserve">Приложение № 3 к извещению</w:t>
      </w:r>
      <w:r/>
    </w:p>
    <w:p>
      <w:pPr>
        <w:ind w:left="360"/>
        <w:jc w:val="right"/>
        <w:keepNext/>
        <w:outlineLvl w:val="1"/>
      </w:pPr>
      <w:r>
        <w:t xml:space="preserve"> о проведении электронного аукциона</w:t>
      </w:r>
      <w:r/>
    </w:p>
    <w:p>
      <w:pPr>
        <w:ind w:left="360"/>
        <w:jc w:val="right"/>
        <w:keepNext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360"/>
        <w:jc w:val="center"/>
        <w:keepNext/>
        <w:rPr>
          <w:b/>
        </w:rPr>
        <w:outlineLvl w:val="1"/>
      </w:pPr>
      <w:r>
        <w:rPr>
          <w:b/>
        </w:rPr>
        <w:t xml:space="preserve">ТРЕБОВАНИЯ К СОДЕРЖАНИЮ</w:t>
      </w:r>
      <w:r>
        <w:rPr>
          <w:b/>
        </w:rPr>
        <w:t xml:space="preserve">, </w:t>
      </w:r>
      <w:r>
        <w:rPr>
          <w:b/>
        </w:rPr>
        <w:t xml:space="preserve">СОСТАВУ ЗАЯВКИ НА УЧАСТИЕ В ЭЛЕКТРОННОМ АУКЦИОНЕ </w:t>
      </w:r>
      <w:r>
        <w:rPr>
          <w:b/>
        </w:rPr>
        <w:t xml:space="preserve">И ИНСТРУКЦИЯ ПО ЕЕ ЗАПОЛНЕНИЮ</w:t>
      </w:r>
      <w:r>
        <w:rPr>
          <w:b/>
        </w:rPr>
      </w:r>
      <w:r>
        <w:rPr>
          <w:b/>
        </w:rPr>
      </w:r>
    </w:p>
    <w:p>
      <w:pPr>
        <w:ind w:left="360"/>
        <w:jc w:val="center"/>
        <w:keepNext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Требования к содержанию и составу заявки на участие в электронном аукционе</w:t>
      </w:r>
      <w:r>
        <w:rPr>
          <w:b/>
        </w:rPr>
      </w:r>
      <w:r>
        <w:rPr>
          <w:b/>
        </w:rPr>
      </w:r>
    </w:p>
    <w:p>
      <w:pPr>
        <w:ind w:firstLine="567"/>
        <w:rPr>
          <w:u w:val="single"/>
        </w:rPr>
      </w:pPr>
      <w:r>
        <w:t xml:space="preserve">В соответствии с требованиями части 1 статьи 49 </w:t>
      </w:r>
      <w:r>
        <w:t xml:space="preserve">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</w:t>
      </w:r>
      <w:r>
        <w:t xml:space="preserve"> </w:t>
      </w:r>
      <w:r>
        <w:rPr>
          <w:u w:val="single"/>
        </w:rPr>
        <w:t xml:space="preserve">заявка на участие в электронном аукционе должна содержать:</w:t>
      </w:r>
      <w:r>
        <w:rPr>
          <w:u w:val="single"/>
        </w:rPr>
      </w:r>
      <w:r>
        <w:rPr>
          <w:u w:val="single"/>
        </w:rPr>
      </w:r>
    </w:p>
    <w:p>
      <w:pPr>
        <w:ind w:firstLine="567"/>
        <w:rPr>
          <w:b/>
          <w:i/>
        </w:rPr>
      </w:pPr>
      <w:r>
        <w:rPr>
          <w:b/>
          <w:i/>
        </w:rPr>
        <w:t xml:space="preserve">1) Информацию и документы об участнике электронного аукциона:</w:t>
      </w:r>
      <w:r>
        <w:rPr>
          <w:b/>
          <w:i/>
        </w:rPr>
      </w:r>
      <w:r>
        <w:rPr>
          <w:b/>
          <w:i/>
        </w:rPr>
      </w:r>
    </w:p>
    <w:p>
      <w:pPr>
        <w:ind w:firstLine="567"/>
      </w:pPr>
      <w:r>
        <w:t xml:space="preserve">а) реше</w:t>
      </w:r>
      <w:r>
        <w:t xml:space="preserve">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электронного аукциона заключе</w:t>
      </w:r>
      <w:r>
        <w:t xml:space="preserve">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электронном аукционе, обеспечение исполнения контракта является крупной сделкой.</w:t>
      </w:r>
      <w:r/>
    </w:p>
    <w:p>
      <w:pPr>
        <w:ind w:firstLine="567"/>
      </w:pPr>
      <w:r>
        <w:t xml:space="preserve">б) декларация о соответствии участника электронного аукциона требованиям, установленным пунктами 3-5, 7-11</w:t>
      </w:r>
      <w:r>
        <w:t xml:space="preserve"> </w:t>
      </w:r>
      <w:r>
        <w:t xml:space="preserve">части 1 статьи 31 Зако</w:t>
      </w:r>
      <w:r>
        <w:t xml:space="preserve">на о контрактной системе.</w:t>
      </w:r>
      <w:r/>
    </w:p>
    <w:p>
      <w:pPr>
        <w:ind w:firstLine="567"/>
        <w:rPr>
          <w:rFonts w:eastAsia="Calibri"/>
        </w:rPr>
      </w:pPr>
      <w:r>
        <w:rPr>
          <w:rFonts w:eastAsia="Calibri"/>
        </w:rPr>
        <w:t xml:space="preserve">в</w:t>
      </w:r>
      <w:r>
        <w:rPr>
          <w:rFonts w:eastAsia="Calibri"/>
        </w:rPr>
        <w:t xml:space="preserve">)</w:t>
      </w:r>
      <w:r>
        <w:t xml:space="preserve"> </w:t>
      </w:r>
      <w:r>
        <w:rPr>
          <w:rFonts w:eastAsia="Calibri"/>
        </w:rPr>
        <w:t xml:space="preserve">реквизиты счета участника электронного аукциона, на который в соответствии с законодательством Российской Федерации осуществляется перечисление денежных средств в качестве оплаты пост</w:t>
      </w:r>
      <w:r>
        <w:rPr>
          <w:rFonts w:eastAsia="Calibri"/>
        </w:rPr>
        <w:t xml:space="preserve">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контракта. 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  <w:rPr>
          <w:rFonts w:eastAsia="Calibri"/>
          <w:b/>
          <w:i/>
        </w:rPr>
      </w:pPr>
      <w:r>
        <w:rPr>
          <w:rFonts w:eastAsia="Calibri"/>
          <w:b/>
          <w:i/>
        </w:rPr>
        <w:t xml:space="preserve">2) Предложение участника электронного аукциона в отношении объекта закупки:</w:t>
      </w:r>
      <w:r>
        <w:rPr>
          <w:rFonts w:eastAsia="Calibri"/>
          <w:b/>
          <w:i/>
        </w:rPr>
      </w:r>
      <w:r>
        <w:rPr>
          <w:rFonts w:eastAsia="Calibri"/>
          <w:b/>
          <w:i/>
        </w:rPr>
      </w:r>
    </w:p>
    <w:p>
      <w:pPr>
        <w:ind w:firstLine="567"/>
        <w:rPr>
          <w:rFonts w:eastAsia="Calibri"/>
        </w:rPr>
      </w:pPr>
      <w:r>
        <w:rPr>
          <w:rFonts w:eastAsia="Calibri"/>
        </w:rPr>
        <w:t xml:space="preserve">а) характеристики товара, соответствующие показателям, установленным в описании объекта закупки в соответствии с частью 2 статьи 33 Закона о контрактной системе, товарный знак (при наличии у товара товарного знака). 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</w:pPr>
      <w:r>
        <w:t xml:space="preserve">Сведения, указанные в подпункте «а», предоставляются участником электронного аукциона в соответствии с пунктами 9-11 раздела «Инструкция по заполнению заявки на участие в</w:t>
      </w:r>
      <w:r>
        <w:t xml:space="preserve"> электронном аукционе» настоящего электронного документа путем формирования товарного знака (при наличии у товара товарного знака), а также характеристик предлагаемого участником электронного аукциона товара в части характеристик, содержащихся в извещении </w:t>
      </w:r>
      <w:r>
        <w:t xml:space="preserve">о проведении электронного аукциона</w:t>
      </w:r>
      <w:r>
        <w:t xml:space="preserve">, с использованием электронной площадки, специализированной электронной площадки.</w:t>
      </w:r>
      <w:r/>
    </w:p>
    <w:p>
      <w:pPr>
        <w:ind w:firstLine="567"/>
        <w:rPr>
          <w:rFonts w:eastAsia="Calibri"/>
        </w:rPr>
      </w:pPr>
      <w:r>
        <w:rPr>
          <w:rFonts w:eastAsia="Calibri"/>
        </w:rPr>
        <w:t xml:space="preserve">б) наименование страны происхождения товара в соответствии с общероссийским классификатором, используем</w:t>
      </w:r>
      <w:r>
        <w:rPr>
          <w:rFonts w:eastAsia="Calibri"/>
        </w:rPr>
        <w:t xml:space="preserve">ым для идентификации стран мира.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  <w:rPr>
          <w:rFonts w:eastAsia="Calibri"/>
        </w:rPr>
      </w:pPr>
      <w:r>
        <w:t xml:space="preserve">Сведения, указанные в подпункте «б», </w:t>
      </w:r>
      <w:r>
        <w:t xml:space="preserve">предоставля</w:t>
      </w:r>
      <w:r>
        <w:t xml:space="preserve">ю</w:t>
      </w:r>
      <w:r>
        <w:t xml:space="preserve">тся участником электронного аукциона </w:t>
      </w:r>
      <w:r>
        <w:t xml:space="preserve">путем формирования наименования страны происхождения товара </w:t>
      </w:r>
      <w:r>
        <w:t xml:space="preserve">с использованием электронной площадки, специализированной электронной площадки.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  <w:rPr>
          <w:rFonts w:eastAsia="Calibri"/>
        </w:rPr>
      </w:pPr>
      <w:r>
        <w:rPr>
          <w:rFonts w:eastAsia="Calibri"/>
        </w:rPr>
        <w:t xml:space="preserve">в)</w:t>
      </w:r>
      <w:r>
        <w:rPr>
          <w:rFonts w:eastAsia="Calibri"/>
        </w:rPr>
        <w:t xml:space="preserve"> иные информаци</w:t>
      </w:r>
      <w:r>
        <w:rPr>
          <w:rFonts w:eastAsia="Calibri"/>
        </w:rPr>
        <w:t xml:space="preserve">я</w:t>
      </w:r>
      <w:r>
        <w:rPr>
          <w:rFonts w:eastAsia="Calibri"/>
        </w:rPr>
        <w:t xml:space="preserve"> и документы, в том числе эскиз, рисунок, чертеж, фотография, иное изображение предлагаемого участником электронного аукциона товара.</w:t>
      </w:r>
      <w:r>
        <w:t xml:space="preserve"> </w:t>
      </w:r>
      <w:r>
        <w:rPr>
          <w:rFonts w:eastAsia="Calibri"/>
        </w:rPr>
        <w:t xml:space="preserve">При этом отсутствие таких информации и документов не является основанием для отклонения заявки на участие в электронном аукционе.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708"/>
        <w:jc w:val="center"/>
        <w:widowControl w:val="off"/>
        <w:rPr>
          <w:b/>
          <w:lang w:eastAsia="en-US"/>
        </w:rPr>
      </w:pPr>
      <w:r>
        <w:rPr>
          <w:b/>
          <w:lang w:eastAsia="en-US"/>
        </w:rPr>
        <w:t xml:space="preserve">Инструкция по заполнению заявки на участие в электронном аукционе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firstLine="567"/>
        <w:widowControl w:val="off"/>
        <w:rPr>
          <w:lang w:eastAsia="en-US"/>
        </w:rPr>
      </w:pPr>
      <w:r>
        <w:rPr>
          <w:rFonts w:eastAsia="Calibri"/>
          <w:bCs/>
          <w:lang w:eastAsia="en-US"/>
        </w:rPr>
        <w:t xml:space="preserve">1.</w:t>
      </w:r>
      <w:r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Подать заявку на участие в </w:t>
      </w:r>
      <w:r>
        <w:rPr>
          <w:rFonts w:eastAsia="Calibri"/>
          <w:bCs/>
          <w:lang w:eastAsia="en-US"/>
        </w:rPr>
        <w:t xml:space="preserve">электронном </w:t>
      </w:r>
      <w:r>
        <w:rPr>
          <w:rFonts w:eastAsia="Calibri"/>
          <w:bCs/>
          <w:lang w:eastAsia="en-US"/>
        </w:rPr>
        <w:t xml:space="preserve">аукционе вправе только </w:t>
      </w:r>
      <w:r>
        <w:rPr>
          <w:rFonts w:eastAsia="Calibri"/>
          <w:bCs/>
          <w:lang w:eastAsia="en-US"/>
        </w:rPr>
        <w:t xml:space="preserve">зарегистрированны</w:t>
      </w:r>
      <w:r>
        <w:rPr>
          <w:rFonts w:eastAsia="Calibri"/>
          <w:bCs/>
          <w:lang w:eastAsia="en-US"/>
        </w:rPr>
        <w:t xml:space="preserve">й</w:t>
      </w:r>
      <w:r>
        <w:rPr>
          <w:rFonts w:eastAsia="Calibri"/>
          <w:bCs/>
          <w:lang w:eastAsia="en-US"/>
        </w:rPr>
        <w:t xml:space="preserve"> в единой информационной системе </w:t>
      </w:r>
      <w:r>
        <w:rPr>
          <w:rFonts w:eastAsia="Calibri"/>
          <w:bCs/>
          <w:lang w:eastAsia="en-US"/>
        </w:rPr>
        <w:t xml:space="preserve">и аккредит</w:t>
      </w:r>
      <w:r>
        <w:rPr>
          <w:rFonts w:eastAsia="Calibri"/>
          <w:bCs/>
          <w:lang w:eastAsia="en-US"/>
        </w:rPr>
        <w:t xml:space="preserve">ованный на </w:t>
      </w:r>
      <w:r>
        <w:rPr>
          <w:rFonts w:eastAsia="Calibri"/>
          <w:bCs/>
          <w:lang w:eastAsia="en-US"/>
        </w:rPr>
        <w:t xml:space="preserve">электронной площадке</w:t>
      </w:r>
      <w:r>
        <w:rPr>
          <w:rFonts w:eastAsia="Calibri"/>
          <w:bCs/>
          <w:lang w:eastAsia="en-US"/>
        </w:rPr>
        <w:t xml:space="preserve"> участник</w:t>
      </w:r>
      <w:r>
        <w:rPr>
          <w:rFonts w:eastAsia="Calibri"/>
          <w:bCs/>
          <w:lang w:eastAsia="en-US"/>
        </w:rPr>
        <w:t xml:space="preserve"> электронного</w:t>
      </w:r>
      <w:r>
        <w:rPr>
          <w:rFonts w:eastAsia="Calibri"/>
          <w:bCs/>
          <w:lang w:eastAsia="en-US"/>
        </w:rPr>
        <w:t xml:space="preserve"> аукциона путем направления такой заявки в соответствии с </w:t>
      </w:r>
      <w:r>
        <w:t xml:space="preserve">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- </w:t>
      </w:r>
      <w:r>
        <w:rPr>
          <w:rFonts w:eastAsia="Calibri"/>
        </w:rPr>
        <w:t xml:space="preserve">Закон о контрактной системе) оператору электронной площадки.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567"/>
        <w:rPr>
          <w:rFonts w:eastAsia="Calibri"/>
        </w:rPr>
      </w:pPr>
      <w:r>
        <w:rPr>
          <w:rFonts w:eastAsia="Calibri"/>
        </w:rPr>
        <w:t xml:space="preserve">2. </w:t>
      </w:r>
      <w:r>
        <w:rPr>
          <w:rFonts w:eastAsia="Calibri"/>
        </w:rPr>
        <w:t xml:space="preserve">Участник </w:t>
      </w:r>
      <w:r>
        <w:rPr>
          <w:rFonts w:eastAsia="Calibri"/>
        </w:rPr>
        <w:t xml:space="preserve">электронного аукциона</w:t>
      </w:r>
      <w:r>
        <w:rPr>
          <w:rFonts w:eastAsia="Calibri"/>
        </w:rPr>
        <w:t xml:space="preserve"> вправе подать только одну заявку на участие в </w:t>
      </w:r>
      <w:r>
        <w:rPr>
          <w:rFonts w:eastAsia="Calibri"/>
        </w:rPr>
        <w:t xml:space="preserve">электронном </w:t>
      </w:r>
      <w:r>
        <w:rPr>
          <w:rFonts w:eastAsia="Calibri"/>
        </w:rPr>
        <w:t xml:space="preserve">аукционе в любое время с момента размещения в единой информационной системе извещения о его проведении до окончания установленного в </w:t>
      </w:r>
      <w:r>
        <w:rPr>
          <w:rFonts w:eastAsia="Calibri"/>
        </w:rPr>
        <w:t xml:space="preserve">соответствии с Законом о контрактной системе</w:t>
      </w:r>
      <w:r>
        <w:rPr>
          <w:rFonts w:eastAsia="Calibri"/>
        </w:rPr>
        <w:t xml:space="preserve"> срока подачи заявок на участие в</w:t>
      </w:r>
      <w:r>
        <w:rPr>
          <w:rFonts w:eastAsia="Calibri"/>
        </w:rPr>
        <w:t xml:space="preserve"> электронном</w:t>
      </w:r>
      <w:r>
        <w:rPr>
          <w:rFonts w:eastAsia="Calibri"/>
        </w:rPr>
        <w:t xml:space="preserve"> аукционе.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  <w:rPr>
          <w:rFonts w:eastAsia="Calibri"/>
        </w:rPr>
      </w:pPr>
      <w:r>
        <w:rPr>
          <w:rFonts w:eastAsia="Calibri"/>
        </w:rPr>
        <w:t xml:space="preserve">3. </w:t>
      </w:r>
      <w:r>
        <w:rPr>
          <w:rFonts w:eastAsia="Calibri"/>
        </w:rPr>
        <w:t xml:space="preserve">Подача заявки на участие в </w:t>
      </w:r>
      <w:r>
        <w:rPr>
          <w:rFonts w:eastAsia="Calibri"/>
        </w:rPr>
        <w:t xml:space="preserve">электронном </w:t>
      </w:r>
      <w:r>
        <w:rPr>
          <w:rFonts w:eastAsia="Calibri"/>
        </w:rPr>
        <w:t xml:space="preserve">аукционе означает согласие участника </w:t>
      </w:r>
      <w:r>
        <w:rPr>
          <w:rFonts w:eastAsia="Calibri"/>
        </w:rPr>
        <w:t xml:space="preserve">электронного </w:t>
      </w:r>
      <w:r>
        <w:rPr>
          <w:rFonts w:eastAsia="Calibri"/>
        </w:rPr>
        <w:t xml:space="preserve">аукциона</w:t>
      </w:r>
      <w:r>
        <w:rPr>
          <w:rFonts w:eastAsia="Calibri"/>
        </w:rPr>
        <w:t xml:space="preserve">, подавшего такую заявку, на поставку товара, выполнение работы, оказание услуги на условиях, предусмотренных извещением о его проведении, и в соответствии с заявкой такого участника </w:t>
      </w:r>
      <w:r>
        <w:rPr>
          <w:rFonts w:eastAsia="Calibri"/>
        </w:rPr>
        <w:t xml:space="preserve">электронного </w:t>
      </w:r>
      <w:r>
        <w:rPr>
          <w:rFonts w:eastAsia="Calibri"/>
        </w:rPr>
        <w:t xml:space="preserve">аукциона на участие в </w:t>
      </w:r>
      <w:r>
        <w:rPr>
          <w:rFonts w:eastAsia="Calibri"/>
        </w:rPr>
        <w:t xml:space="preserve">электронном </w:t>
      </w:r>
      <w:r>
        <w:rPr>
          <w:rFonts w:eastAsia="Calibri"/>
        </w:rPr>
        <w:t xml:space="preserve">аукционе.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  <w:rPr>
          <w:rFonts w:eastAsia="Calibri"/>
        </w:rPr>
      </w:pPr>
      <w:r>
        <w:rPr>
          <w:rFonts w:eastAsia="Calibri"/>
        </w:rPr>
        <w:t xml:space="preserve">4. </w:t>
      </w:r>
      <w:r>
        <w:rPr>
          <w:rFonts w:eastAsia="Calibri"/>
          <w:bCs/>
          <w:lang w:eastAsia="en-US"/>
        </w:rPr>
        <w:t xml:space="preserve">Заявка на участие в </w:t>
      </w:r>
      <w:r>
        <w:rPr>
          <w:rFonts w:eastAsia="Calibri"/>
          <w:bCs/>
          <w:lang w:eastAsia="en-US"/>
        </w:rPr>
        <w:t xml:space="preserve">электронном аукционе</w:t>
      </w:r>
      <w:r>
        <w:rPr>
          <w:rFonts w:eastAsia="Calibri"/>
          <w:bCs/>
          <w:lang w:eastAsia="en-US"/>
        </w:rPr>
        <w:t xml:space="preserve"> должна содержать информацию и документы, предусмотренные подпунктами "м"</w:t>
      </w:r>
      <w:r>
        <w:rPr>
          <w:rFonts w:eastAsia="Calibri"/>
          <w:bCs/>
          <w:lang w:eastAsia="en-US"/>
        </w:rPr>
        <w:t xml:space="preserve">, "о",</w:t>
      </w:r>
      <w:r>
        <w:rPr>
          <w:rFonts w:eastAsia="Calibri"/>
          <w:bCs/>
          <w:lang w:eastAsia="en-US"/>
        </w:rPr>
        <w:t xml:space="preserve"> "п" пункта 1, подпунктами </w:t>
      </w:r>
      <w:r>
        <w:rPr>
          <w:rFonts w:eastAsia="Calibri"/>
          <w:bCs/>
          <w:lang w:eastAsia="en-US"/>
        </w:rPr>
        <w:t xml:space="preserve">"а",</w:t>
      </w:r>
      <w:r>
        <w:rPr>
          <w:rFonts w:eastAsia="Calibri"/>
          <w:bCs/>
          <w:lang w:eastAsia="en-US"/>
        </w:rPr>
        <w:t xml:space="preserve"> "</w:t>
      </w:r>
      <w:r>
        <w:rPr>
          <w:rFonts w:eastAsia="Calibri"/>
          <w:bCs/>
          <w:lang w:eastAsia="en-US"/>
        </w:rPr>
        <w:t xml:space="preserve">б</w:t>
      </w:r>
      <w:r>
        <w:rPr>
          <w:rFonts w:eastAsia="Calibri"/>
          <w:bCs/>
          <w:lang w:eastAsia="en-US"/>
        </w:rPr>
        <w:t xml:space="preserve">" </w:t>
      </w:r>
      <w:r>
        <w:rPr>
          <w:rFonts w:eastAsia="Calibri"/>
          <w:bCs/>
          <w:lang w:eastAsia="en-US"/>
        </w:rPr>
        <w:t xml:space="preserve">пункта 2 </w:t>
      </w:r>
      <w:r>
        <w:rPr>
          <w:rFonts w:eastAsia="Calibri"/>
          <w:bCs/>
          <w:lang w:eastAsia="en-US"/>
        </w:rPr>
        <w:t xml:space="preserve">части 1 статьи 43 </w:t>
      </w:r>
      <w:r>
        <w:rPr>
          <w:rFonts w:eastAsia="Calibri"/>
        </w:rPr>
        <w:t xml:space="preserve">Закона о контрактной системе</w:t>
      </w:r>
      <w:r>
        <w:rPr>
          <w:rFonts w:eastAsia="Calibri"/>
          <w:bCs/>
          <w:lang w:eastAsia="en-US"/>
        </w:rPr>
        <w:t xml:space="preserve">. Заявка также может содержать информацию и документы, предусмотренные подпунктом "д" пункта 2 части 1 статьи 43 </w:t>
      </w:r>
      <w:r>
        <w:rPr>
          <w:rFonts w:eastAsia="Calibri"/>
        </w:rPr>
        <w:t xml:space="preserve">Закона о контрактной системе</w:t>
      </w:r>
      <w:r>
        <w:rPr>
          <w:rFonts w:eastAsia="Calibri"/>
        </w:rPr>
        <w:t xml:space="preserve">.</w:t>
      </w:r>
      <w:r>
        <w:rPr>
          <w:rFonts w:eastAsia="Calibri"/>
        </w:rPr>
      </w:r>
    </w:p>
    <w:p>
      <w:pPr>
        <w:ind w:firstLine="567"/>
        <w:rPr>
          <w:rFonts w:eastAsia="Calibri"/>
        </w:rPr>
      </w:pPr>
      <w:r>
        <w:rPr>
          <w:rFonts w:eastAsia="Calibri"/>
        </w:rPr>
        <w:t xml:space="preserve">5. </w:t>
      </w:r>
      <w:r>
        <w:rPr>
          <w:rFonts w:eastAsia="Calibri"/>
          <w:bCs/>
          <w:lang w:eastAsia="en-US"/>
        </w:rPr>
        <w:t xml:space="preserve">Информация и документы, предусмотренные подпунктами "а" - "</w:t>
      </w:r>
      <w:r>
        <w:rPr>
          <w:rFonts w:eastAsia="Calibri"/>
          <w:bCs/>
          <w:lang w:eastAsia="en-US"/>
        </w:rPr>
        <w:t xml:space="preserve">з</w:t>
      </w:r>
      <w:r>
        <w:rPr>
          <w:rFonts w:eastAsia="Calibri"/>
          <w:bCs/>
          <w:lang w:eastAsia="en-US"/>
        </w:rPr>
        <w:t xml:space="preserve">"</w:t>
      </w:r>
      <w:r>
        <w:rPr>
          <w:rFonts w:eastAsia="Calibri"/>
          <w:bCs/>
          <w:lang w:eastAsia="en-US"/>
        </w:rPr>
        <w:t xml:space="preserve">, "л</w:t>
      </w:r>
      <w:r>
        <w:rPr>
          <w:rFonts w:eastAsia="Calibri"/>
          <w:bCs/>
          <w:lang w:eastAsia="en-US"/>
        </w:rPr>
        <w:t xml:space="preserve">"</w:t>
      </w:r>
      <w:r>
        <w:rPr>
          <w:rFonts w:eastAsia="Calibri"/>
          <w:bCs/>
          <w:lang w:eastAsia="en-US"/>
        </w:rPr>
        <w:t xml:space="preserve"> пункта 1 части 1 статьи 43 Закона о контрактной системе, не включаются участником </w:t>
      </w:r>
      <w:r>
        <w:rPr>
          <w:rFonts w:eastAsia="Calibri"/>
          <w:bCs/>
          <w:lang w:eastAsia="en-US"/>
        </w:rPr>
        <w:t xml:space="preserve">электронного аукциона</w:t>
      </w:r>
      <w:r>
        <w:rPr>
          <w:rFonts w:eastAsia="Calibri"/>
          <w:bCs/>
          <w:lang w:eastAsia="en-US"/>
        </w:rPr>
        <w:t xml:space="preserve"> в заявку на участие в </w:t>
      </w:r>
      <w:r>
        <w:rPr>
          <w:rFonts w:eastAsia="Calibri"/>
          <w:bCs/>
          <w:lang w:eastAsia="en-US"/>
        </w:rPr>
        <w:t xml:space="preserve">электронном аукционе</w:t>
      </w:r>
      <w:r>
        <w:rPr>
          <w:rFonts w:eastAsia="Calibri"/>
          <w:bCs/>
          <w:lang w:eastAsia="en-US"/>
        </w:rPr>
        <w:t xml:space="preserve">. Такие информация и документы в случаях, предусмотренных </w:t>
      </w:r>
      <w:r>
        <w:rPr>
          <w:rFonts w:eastAsia="Calibri"/>
        </w:rPr>
        <w:t xml:space="preserve">Законом о контрактной системе</w:t>
      </w:r>
      <w:r>
        <w:rPr>
          <w:rFonts w:eastAsia="Calibri"/>
          <w:bCs/>
          <w:lang w:eastAsia="en-US"/>
        </w:rPr>
        <w:t xml:space="preserve">, направляются (по состоянию на дату и время их направления) заказчику (уполномоченному </w:t>
      </w:r>
      <w:r>
        <w:rPr>
          <w:rFonts w:eastAsia="Calibri"/>
          <w:bCs/>
          <w:lang w:eastAsia="en-US"/>
        </w:rPr>
        <w:t xml:space="preserve">учреждению</w:t>
      </w:r>
      <w:r>
        <w:rPr>
          <w:rFonts w:eastAsia="Calibri"/>
          <w:bCs/>
          <w:lang w:eastAsia="en-US"/>
        </w:rPr>
        <w:t xml:space="preserve">) оператором электронной площадки, путем информационного взаимодействия с единой информационной системой. 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  <w:rPr>
          <w:rFonts w:eastAsia="Calibri"/>
        </w:rPr>
      </w:pPr>
      <w:r>
        <w:rPr>
          <w:rFonts w:eastAsia="Calibri"/>
          <w:bCs/>
          <w:lang w:eastAsia="en-US"/>
        </w:rPr>
        <w:t xml:space="preserve">6. </w:t>
      </w:r>
      <w:r>
        <w:rPr>
          <w:rFonts w:eastAsia="Calibri"/>
        </w:rPr>
        <w:t xml:space="preserve">При формировании предложения участника электронного аукциона в отношении объекта закупки, предусмотренного пунктом 2 части 1 статьи 43 Закона о контрактной системе, с использованием электронной площадки, специализированно</w:t>
      </w:r>
      <w:r>
        <w:rPr>
          <w:rFonts w:eastAsia="Calibri"/>
        </w:rPr>
        <w:t xml:space="preserve">й электронной площадки формируются наименование страны происхождения товара, товарный знак (при наличии у товара товарного знака), а также характеристики предлагаемого участником электронного аукциона товара в части характеристик, содержащихся в извещении </w:t>
      </w:r>
      <w:r>
        <w:rPr>
          <w:rFonts w:eastAsia="Calibri"/>
        </w:rPr>
        <w:t xml:space="preserve">о проведении электронного аукциона </w:t>
      </w:r>
      <w:r>
        <w:rPr>
          <w:rFonts w:eastAsia="Calibri"/>
        </w:rPr>
        <w:t xml:space="preserve">в соответствии с пунктом 5 части 1 статьи 42 Закона о контрактной системе. Такие характеристики размещаются оператором электронной площадки,</w:t>
      </w:r>
      <w:r>
        <w:rPr>
          <w:rFonts w:eastAsia="Calibri"/>
        </w:rPr>
        <w:t xml:space="preserve"> оператором специализированной электронной площадки в единой информационной системе (без размещения на официальном сайте единой информационной системы) одновременно с размещением протокола подведения итогов определения поставщика (подрядчика, исполнителя).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  <w:rPr>
          <w:rFonts w:eastAsia="Calibri"/>
        </w:rPr>
      </w:pPr>
      <w:r/>
      <w:bookmarkStart w:id="0" w:name="_GoBack"/>
      <w:r/>
      <w:bookmarkEnd w:id="0"/>
      <w:r>
        <w:rPr>
          <w:rFonts w:eastAsia="Calibri"/>
          <w:bCs/>
          <w:lang w:eastAsia="en-US"/>
        </w:rPr>
        <w:t xml:space="preserve">7</w:t>
      </w:r>
      <w:r>
        <w:rPr>
          <w:rFonts w:eastAsia="Calibri"/>
          <w:bCs/>
          <w:lang w:eastAsia="en-US"/>
        </w:rPr>
        <w:t xml:space="preserve">. </w:t>
      </w:r>
      <w:r>
        <w:rPr>
          <w:rFonts w:eastAsia="Calibri"/>
        </w:rPr>
        <w:t xml:space="preserve">Документы и информация, направляемые в форме электронных документов участником электронного аукциона, должны быть подписаны усиленной электронной подписью лица, имеющего право действовать от имени участника электронного аукциона.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  <w:widowControl w:val="off"/>
        <w:rPr>
          <w:lang w:eastAsia="en-US"/>
        </w:rPr>
      </w:pPr>
      <w:r>
        <w:rPr>
          <w:lang w:eastAsia="en-US"/>
        </w:rPr>
      </w:r>
      <w:r>
        <w:rPr>
          <w:highlight w:val="white"/>
          <w:lang w:eastAsia="en-US"/>
        </w:rPr>
        <w:t xml:space="preserve">8. 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Ответственность за недостоверность информации и (или) документов, включенных в заявку на участие в электронном аукционе, за действия, совершенные на основании указанных информации и (или) документов, несет участник электронного аукциона.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567"/>
        <w:widowControl w:val="off"/>
        <w:rPr>
          <w:lang w:eastAsia="en-US"/>
        </w:rPr>
      </w:pPr>
      <w:r>
        <w:rPr>
          <w:lang w:eastAsia="en-US"/>
        </w:rPr>
        <w:t xml:space="preserve">9</w:t>
      </w:r>
      <w:r>
        <w:rPr>
          <w:lang w:eastAsia="en-US"/>
        </w:rPr>
        <w:t xml:space="preserve">. </w:t>
      </w:r>
      <w:r>
        <w:rPr>
          <w:lang w:eastAsia="en-US"/>
        </w:rPr>
        <w:t xml:space="preserve">При описании характеристик предлагаемого товара, в том числе поставляемого заказчику при выполнении закупаемых работ, оказании закупаемых услуг, участник </w:t>
      </w:r>
      <w:r>
        <w:rPr>
          <w:lang w:eastAsia="en-US"/>
        </w:rPr>
        <w:t xml:space="preserve">электронного аукциона</w:t>
      </w:r>
      <w:r>
        <w:rPr>
          <w:lang w:eastAsia="en-US"/>
        </w:rPr>
        <w:t xml:space="preserve"> должен исчерпывающим образом указать все требуемые характеристики предлагаемого участником </w:t>
      </w:r>
      <w:r>
        <w:rPr>
          <w:lang w:eastAsia="en-US"/>
        </w:rPr>
        <w:t xml:space="preserve">электронного аукциона</w:t>
      </w:r>
      <w:r>
        <w:rPr>
          <w:lang w:eastAsia="en-US"/>
        </w:rPr>
        <w:t xml:space="preserve"> товара, соответствующие показателям, установленным в описании объекта закупки в соответствии с частью 2 статьи 33 Закона о контрактной системе</w:t>
      </w:r>
      <w:r>
        <w:rPr>
          <w:lang w:eastAsia="en-US"/>
        </w:rPr>
        <w:t xml:space="preserve">. </w:t>
      </w:r>
      <w:r>
        <w:rPr>
          <w:lang w:eastAsia="en-US"/>
        </w:rPr>
        <w:t xml:space="preserve"> </w:t>
      </w:r>
      <w:r>
        <w:rPr>
          <w:lang w:eastAsia="en-US"/>
        </w:rPr>
      </w:r>
      <w:r>
        <w:rPr>
          <w:lang w:eastAsia="en-US"/>
        </w:rPr>
      </w:r>
    </w:p>
    <w:p>
      <w:pPr>
        <w:ind w:firstLine="567"/>
        <w:widowControl w:val="off"/>
        <w:rPr>
          <w:rFonts w:eastAsia="Calibri"/>
        </w:rPr>
      </w:pPr>
      <w:r>
        <w:rPr>
          <w:lang w:eastAsia="en-US"/>
        </w:rPr>
        <w:t xml:space="preserve">1</w:t>
      </w:r>
      <w:r>
        <w:rPr>
          <w:lang w:eastAsia="en-US"/>
        </w:rPr>
        <w:t xml:space="preserve">0</w:t>
      </w:r>
      <w:r>
        <w:rPr>
          <w:lang w:eastAsia="en-US"/>
        </w:rPr>
        <w:t xml:space="preserve">. </w:t>
      </w:r>
      <w:r>
        <w:rPr>
          <w:lang w:eastAsia="en-US"/>
        </w:rPr>
        <w:t xml:space="preserve">Инструкция по заполнению характеристик товара в заявке на участие в электронном аукционе установлена в приложении № 1 к извещению о проведении электронного аукциона «Описание объекта закупки». 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567"/>
        <w:widowControl w:val="off"/>
        <w:rPr>
          <w:lang w:eastAsia="en-US"/>
        </w:rPr>
      </w:pPr>
      <w:r>
        <w:rPr>
          <w:lang w:eastAsia="en-US"/>
        </w:rPr>
        <w:t xml:space="preserve">1</w:t>
      </w:r>
      <w:r>
        <w:rPr>
          <w:lang w:eastAsia="en-US"/>
        </w:rPr>
        <w:t xml:space="preserve">1</w:t>
      </w:r>
      <w:r>
        <w:rPr>
          <w:lang w:eastAsia="en-US"/>
        </w:rPr>
        <w:t xml:space="preserve">. При подаче сведений участниками электронного аукциона должны применяться обозначения (единицы измерения, наименования показателей, технических, функциональных параметров) в соответствии с обозначениями, установленными </w:t>
      </w:r>
      <w:r>
        <w:rPr>
          <w:lang w:eastAsia="en-US"/>
        </w:rPr>
        <w:t xml:space="preserve">в приложении</w:t>
      </w:r>
      <w:r>
        <w:rPr>
          <w:lang w:eastAsia="en-US"/>
        </w:rPr>
        <w:t xml:space="preserve"> № 1 к извещению о проведении электронного аукциона «Описание объекта закупки»</w:t>
      </w:r>
      <w:r>
        <w:rPr>
          <w:lang w:eastAsia="en-US"/>
        </w:rPr>
        <w:t xml:space="preserve">. </w:t>
      </w:r>
      <w:r>
        <w:rPr>
          <w:lang w:eastAsia="en-US"/>
        </w:rPr>
        <w:t xml:space="preserve"> </w:t>
      </w:r>
      <w:r>
        <w:rPr>
          <w:lang w:eastAsia="en-US"/>
        </w:rPr>
      </w:r>
      <w:r>
        <w:rPr>
          <w:lang w:eastAsia="en-US"/>
        </w:rPr>
      </w:r>
    </w:p>
    <w:p>
      <w:pPr>
        <w:ind w:firstLine="567"/>
        <w:tabs>
          <w:tab w:val="left" w:pos="0" w:leader="none"/>
          <w:tab w:val="left" w:pos="1560" w:leader="none"/>
        </w:tabs>
        <w:rPr>
          <w:b/>
          <w:i/>
        </w:rPr>
      </w:pPr>
      <w:r>
        <w:t xml:space="preserve">1</w:t>
      </w:r>
      <w:r>
        <w:t xml:space="preserve">2</w:t>
      </w:r>
      <w:r>
        <w:t xml:space="preserve">. Заявка на участие в электронном аукционе, подготовленная участником электронного аукциона, а также все запросы о даче разъяснений положений извещения о проведении электронного аукциона, должны быть написаны на русском языке.</w:t>
      </w:r>
      <w:r>
        <w:rPr>
          <w:b/>
          <w:i/>
        </w:rPr>
      </w:r>
      <w:r>
        <w:rPr>
          <w:b/>
          <w:i/>
        </w:rPr>
      </w:r>
    </w:p>
    <w:p>
      <w:pPr>
        <w:ind w:firstLine="567"/>
        <w:rPr>
          <w:rFonts w:eastAsia="Calibri"/>
        </w:rPr>
      </w:pPr>
      <w:r>
        <w:t xml:space="preserve">1</w:t>
      </w:r>
      <w:r>
        <w:t xml:space="preserve">3</w:t>
      </w:r>
      <w:r>
        <w:t xml:space="preserve">.</w:t>
      </w:r>
      <w:r>
        <w:rPr>
          <w:b/>
          <w:i/>
        </w:rPr>
        <w:t xml:space="preserve"> </w:t>
      </w:r>
      <w:r>
        <w:rPr>
          <w:lang w:eastAsia="en-US"/>
        </w:rPr>
        <w:t xml:space="preserve">Документы, происходящие из иностранного государства, должны быть надлежащим образом легализ</w:t>
      </w:r>
      <w:r>
        <w:rPr>
          <w:lang w:eastAsia="en-US"/>
        </w:rPr>
        <w:t xml:space="preserve">ованы либо заверены апостилем в соответствии с законодательством и международными договорами Российской Федерации, за исключением случаев, когда в соответствии с международным договором Российской Федерации легализация или заверение апостилем не требуются.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709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709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709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709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5"/>
      <w:numFmt w:val="decimal"/>
      <w:isLgl w:val="false"/>
      <w:suff w:val="tab"/>
      <w:lvlText w:val="%1.%2."/>
      <w:lvlJc w:val="left"/>
      <w:pPr>
        <w:ind w:left="12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60" w:hanging="720"/>
      </w:pPr>
    </w:lvl>
    <w:lvl w:ilvl="3">
      <w:start w:val="5"/>
      <w:numFmt w:val="decimal"/>
      <w:isLgl w:val="false"/>
      <w:suff w:val="tab"/>
      <w:lvlText w:val="%1.%2.%3.%4."/>
      <w:lvlJc w:val="left"/>
      <w:pPr>
        <w:ind w:left="22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3"/>
      <w:numFmt w:val="decimal"/>
      <w:isLgl w:val="false"/>
      <w:suff w:val="tab"/>
      <w:lvlText w:val="%1.%2."/>
      <w:lvlJc w:val="left"/>
      <w:pPr>
        <w:ind w:left="1240" w:hanging="720"/>
      </w:pPr>
    </w:lvl>
    <w:lvl w:ilvl="2">
      <w:start w:val="2"/>
      <w:numFmt w:val="decimal"/>
      <w:isLgl w:val="false"/>
      <w:suff w:val="tab"/>
      <w:lvlText w:val="%1.%2.%3."/>
      <w:lvlJc w:val="left"/>
      <w:pPr>
        <w:ind w:left="17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80" w:hanging="720"/>
      </w:pPr>
      <w:rPr>
        <w:rFonts w:hint="default" w:ascii="Times New Roman" w:hAnsi="Times New Roman" w:cs="Times New Roman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b w:val="0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540"/>
      </w:pPr>
      <w:rPr>
        <w:b/>
      </w:rPr>
    </w:lvl>
    <w:lvl w:ilvl="1">
      <w:start w:val="5"/>
      <w:numFmt w:val="decimal"/>
      <w:isLgl w:val="false"/>
      <w:suff w:val="tab"/>
      <w:lvlText w:val="%1.%2."/>
      <w:lvlJc w:val="left"/>
      <w:pPr>
        <w:ind w:left="1060" w:hanging="540"/>
      </w:pPr>
    </w:lvl>
    <w:lvl w:ilvl="2">
      <w:start w:val="2"/>
      <w:numFmt w:val="decimal"/>
      <w:isLgl w:val="false"/>
      <w:suff w:val="tab"/>
      <w:lvlText w:val="%1.%2.%3."/>
      <w:lvlJc w:val="left"/>
      <w:pPr>
        <w:ind w:left="17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4"/>
      <w:numFmt w:val="decimal"/>
      <w:isLgl w:val="false"/>
      <w:suff w:val="tab"/>
      <w:lvlText w:val="%1.%2."/>
      <w:lvlJc w:val="left"/>
      <w:pPr>
        <w:ind w:left="782" w:hanging="720"/>
      </w:pPr>
    </w:lvl>
    <w:lvl w:ilvl="2">
      <w:start w:val="3"/>
      <w:numFmt w:val="decimal"/>
      <w:isLgl w:val="false"/>
      <w:suff w:val="tab"/>
      <w:lvlText w:val="%1.%2.%3."/>
      <w:lvlJc w:val="left"/>
      <w:pPr>
        <w:ind w:left="84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90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3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39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1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7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96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4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46"/>
    <w:next w:val="846"/>
    <w:link w:val="67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3">
    <w:name w:val="Heading 1 Char"/>
    <w:basedOn w:val="847"/>
    <w:link w:val="672"/>
    <w:uiPriority w:val="9"/>
    <w:rPr>
      <w:rFonts w:ascii="Arial" w:hAnsi="Arial" w:eastAsia="Arial" w:cs="Arial"/>
      <w:sz w:val="40"/>
      <w:szCs w:val="40"/>
    </w:rPr>
  </w:style>
  <w:style w:type="paragraph" w:styleId="674">
    <w:name w:val="Heading 2"/>
    <w:basedOn w:val="846"/>
    <w:next w:val="846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5">
    <w:name w:val="Heading 2 Char"/>
    <w:basedOn w:val="847"/>
    <w:link w:val="674"/>
    <w:uiPriority w:val="9"/>
    <w:rPr>
      <w:rFonts w:ascii="Arial" w:hAnsi="Arial" w:eastAsia="Arial" w:cs="Arial"/>
      <w:sz w:val="34"/>
    </w:rPr>
  </w:style>
  <w:style w:type="paragraph" w:styleId="676">
    <w:name w:val="Heading 3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7">
    <w:name w:val="Heading 3 Char"/>
    <w:basedOn w:val="847"/>
    <w:link w:val="676"/>
    <w:uiPriority w:val="9"/>
    <w:rPr>
      <w:rFonts w:ascii="Arial" w:hAnsi="Arial" w:eastAsia="Arial" w:cs="Arial"/>
      <w:sz w:val="30"/>
      <w:szCs w:val="30"/>
    </w:rPr>
  </w:style>
  <w:style w:type="paragraph" w:styleId="678">
    <w:name w:val="Heading 4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9">
    <w:name w:val="Heading 4 Char"/>
    <w:basedOn w:val="847"/>
    <w:link w:val="678"/>
    <w:uiPriority w:val="9"/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1">
    <w:name w:val="Heading 5 Char"/>
    <w:basedOn w:val="847"/>
    <w:link w:val="680"/>
    <w:uiPriority w:val="9"/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3">
    <w:name w:val="Heading 6 Char"/>
    <w:basedOn w:val="847"/>
    <w:link w:val="682"/>
    <w:uiPriority w:val="9"/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7 Char"/>
    <w:basedOn w:val="84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7">
    <w:name w:val="Heading 8 Char"/>
    <w:basedOn w:val="847"/>
    <w:link w:val="686"/>
    <w:uiPriority w:val="9"/>
    <w:rPr>
      <w:rFonts w:ascii="Arial" w:hAnsi="Arial" w:eastAsia="Arial" w:cs="Arial"/>
      <w:i/>
      <w:iCs/>
      <w:sz w:val="22"/>
      <w:szCs w:val="22"/>
    </w:rPr>
  </w:style>
  <w:style w:type="paragraph" w:styleId="688">
    <w:name w:val="Heading 9"/>
    <w:basedOn w:val="846"/>
    <w:next w:val="846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>
    <w:name w:val="Heading 9 Char"/>
    <w:basedOn w:val="847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690">
    <w:name w:val="No Spacing"/>
    <w:uiPriority w:val="1"/>
    <w:qFormat/>
    <w:pPr>
      <w:spacing w:before="0" w:after="0" w:line="240" w:lineRule="auto"/>
    </w:pPr>
  </w:style>
  <w:style w:type="paragraph" w:styleId="691">
    <w:name w:val="Title"/>
    <w:basedOn w:val="846"/>
    <w:next w:val="846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basedOn w:val="847"/>
    <w:link w:val="691"/>
    <w:uiPriority w:val="10"/>
    <w:rPr>
      <w:sz w:val="48"/>
      <w:szCs w:val="48"/>
    </w:rPr>
  </w:style>
  <w:style w:type="paragraph" w:styleId="693">
    <w:name w:val="Subtitle"/>
    <w:basedOn w:val="846"/>
    <w:next w:val="846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basedOn w:val="847"/>
    <w:link w:val="693"/>
    <w:uiPriority w:val="11"/>
    <w:rPr>
      <w:sz w:val="24"/>
      <w:szCs w:val="24"/>
    </w:rPr>
  </w:style>
  <w:style w:type="paragraph" w:styleId="695">
    <w:name w:val="Quote"/>
    <w:basedOn w:val="846"/>
    <w:next w:val="846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6"/>
    <w:next w:val="846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paragraph" w:styleId="699">
    <w:name w:val="Header"/>
    <w:basedOn w:val="846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Header Char"/>
    <w:basedOn w:val="847"/>
    <w:link w:val="699"/>
    <w:uiPriority w:val="99"/>
  </w:style>
  <w:style w:type="paragraph" w:styleId="701">
    <w:name w:val="Footer"/>
    <w:basedOn w:val="846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Footer Char"/>
    <w:basedOn w:val="847"/>
    <w:link w:val="701"/>
    <w:uiPriority w:val="99"/>
  </w:style>
  <w:style w:type="paragraph" w:styleId="703">
    <w:name w:val="Caption"/>
    <w:basedOn w:val="846"/>
    <w:next w:val="846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basedOn w:val="847"/>
    <w:link w:val="703"/>
    <w:uiPriority w:val="35"/>
    <w:rPr>
      <w:b/>
      <w:bCs/>
      <w:color w:val="4f81bd" w:themeColor="accent1"/>
      <w:sz w:val="18"/>
      <w:szCs w:val="18"/>
    </w:rPr>
  </w:style>
  <w:style w:type="table" w:styleId="705">
    <w:name w:val="Table Grid"/>
    <w:basedOn w:val="8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5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6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7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8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9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0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Footnote Text Char"/>
    <w:link w:val="851"/>
    <w:uiPriority w:val="99"/>
    <w:rPr>
      <w:sz w:val="18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7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character" w:styleId="850" w:customStyle="1">
    <w:name w:val="Текст сноски Знак"/>
    <w:basedOn w:val="847"/>
    <w:link w:val="851"/>
    <w:semiHidden/>
    <w:rPr>
      <w:rFonts w:ascii="Times New Roman" w:hAnsi="Times New Roman" w:eastAsia="Times New Roman" w:cs="Times New Roman"/>
    </w:rPr>
  </w:style>
  <w:style w:type="paragraph" w:styleId="851">
    <w:name w:val="footnote text"/>
    <w:basedOn w:val="846"/>
    <w:link w:val="850"/>
    <w:semiHidden/>
    <w:unhideWhenUsed/>
    <w:pPr>
      <w:jc w:val="left"/>
    </w:pPr>
    <w:rPr>
      <w:sz w:val="22"/>
      <w:szCs w:val="22"/>
    </w:rPr>
  </w:style>
  <w:style w:type="character" w:styleId="852" w:customStyle="1">
    <w:name w:val="Текст сноски Знак1"/>
    <w:basedOn w:val="847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paragraph" w:styleId="853" w:customStyle="1">
    <w:name w:val="Без интервала2"/>
    <w:qFormat/>
    <w:pPr>
      <w:spacing w:after="0" w:line="240" w:lineRule="auto"/>
    </w:pPr>
    <w:rPr>
      <w:rFonts w:ascii="Calibri" w:hAnsi="Calibri" w:eastAsia="Times New Roman" w:cs="Times New Roman"/>
      <w:lang w:eastAsia="en-US"/>
    </w:rPr>
  </w:style>
  <w:style w:type="character" w:styleId="854">
    <w:name w:val="footnote reference"/>
    <w:unhideWhenUsed/>
    <w:qFormat/>
    <w:rPr>
      <w:vertAlign w:val="superscript"/>
    </w:rPr>
  </w:style>
  <w:style w:type="character" w:styleId="855">
    <w:name w:val="Hyperlink"/>
    <w:basedOn w:val="847"/>
    <w:uiPriority w:val="99"/>
    <w:semiHidden/>
    <w:unhideWhenUsed/>
    <w:rPr>
      <w:color w:val="0000ff"/>
      <w:u w:val="single"/>
    </w:rPr>
  </w:style>
  <w:style w:type="paragraph" w:styleId="856">
    <w:name w:val="List Paragraph"/>
    <w:basedOn w:val="846"/>
    <w:uiPriority w:val="34"/>
    <w:qFormat/>
    <w:pPr>
      <w:contextualSpacing/>
      <w:ind w:left="720"/>
    </w:pPr>
  </w:style>
  <w:style w:type="paragraph" w:styleId="857" w:customStyle="1">
    <w:name w:val="ConsPlusNormal"/>
    <w:link w:val="858"/>
    <w:qFormat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character" w:styleId="858" w:customStyle="1">
    <w:name w:val="ConsPlusNormal Знак"/>
    <w:link w:val="857"/>
    <w:rPr>
      <w:rFonts w:ascii="Arial" w:hAnsi="Arial" w:eastAsia="Times New Roman" w:cs="Arial"/>
      <w:sz w:val="20"/>
      <w:szCs w:val="20"/>
    </w:rPr>
  </w:style>
  <w:style w:type="paragraph" w:styleId="859" w:customStyle="1">
    <w:name w:val="Приложение"/>
    <w:basedOn w:val="846"/>
    <w:link w:val="860"/>
    <w:uiPriority w:val="99"/>
    <w:pPr>
      <w:ind w:left="8080"/>
      <w:jc w:val="right"/>
      <w:spacing w:after="200"/>
    </w:pPr>
    <w:rPr>
      <w:rFonts w:eastAsia="Calibri"/>
    </w:rPr>
  </w:style>
  <w:style w:type="character" w:styleId="860" w:customStyle="1">
    <w:name w:val="Приложение Знак"/>
    <w:link w:val="859"/>
    <w:uiPriority w:val="99"/>
    <w:rPr>
      <w:rFonts w:ascii="Times New Roman" w:hAnsi="Times New Roman" w:eastAsia="Calibri" w:cs="Times New Roman"/>
      <w:sz w:val="24"/>
      <w:szCs w:val="24"/>
    </w:rPr>
  </w:style>
  <w:style w:type="paragraph" w:styleId="861">
    <w:name w:val="Balloon Text"/>
    <w:basedOn w:val="846"/>
    <w:link w:val="86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2" w:customStyle="1">
    <w:name w:val="Текст выноски Знак"/>
    <w:basedOn w:val="847"/>
    <w:link w:val="861"/>
    <w:uiPriority w:val="99"/>
    <w:semiHidden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Администрация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Устинова Юлия Олеговна</dc:creator>
  <cp:keywords/>
  <dc:description/>
  <cp:lastModifiedBy>KulikovaYV</cp:lastModifiedBy>
  <cp:revision>27</cp:revision>
  <dcterms:created xsi:type="dcterms:W3CDTF">2022-11-16T12:00:00Z</dcterms:created>
  <dcterms:modified xsi:type="dcterms:W3CDTF">2026-08-03T12:30:19Z</dcterms:modified>
</cp:coreProperties>
</file>