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9"/>
        <w:jc w:val="center"/>
        <w:spacing w:before="120" w:after="120" w:line="240" w:lineRule="auto"/>
        <w:rPr>
          <w:rFonts w:ascii="Times New Roman" w:hAnsi="Times New Roman" w:eastAsia="Times New Roman"/>
          <w:b/>
          <w:highlight w:val="none"/>
        </w:rPr>
        <w:outlineLvl w:val="0"/>
      </w:pPr>
      <w:r>
        <w:rPr>
          <w:rFonts w:ascii="Times New Roman" w:hAnsi="Times New Roman" w:eastAsia="Times New Roman"/>
          <w:b/>
          <w:highlight w:val="none"/>
          <w:lang w:eastAsia="ru-RU"/>
        </w:rPr>
        <w:t xml:space="preserve">Извещение № 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4907/МИ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 (ГКПЗ 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№ 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050/78/2027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)</w:t>
      </w:r>
      <w:r>
        <w:rPr>
          <w:rFonts w:ascii="Times New Roman" w:hAnsi="Times New Roman" w:eastAsia="Times New Roman"/>
          <w:b/>
          <w:highlight w:val="none"/>
          <w:lang w:eastAsia="ru-RU"/>
        </w:rPr>
        <w:br w:type="textWrapping" w:clear="all"/>
        <w:t xml:space="preserve">о проведении 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открытых маркетинговых исследований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 в электронной форме 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участниками котор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ых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 могут быть только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 субъект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/>
          <w:b/>
          <w:highlight w:val="none"/>
          <w:lang w:eastAsia="ru-RU"/>
        </w:rPr>
        <w:t xml:space="preserve"> малого и среднего предпринимательства</w:t>
      </w:r>
      <w:r>
        <w:rPr>
          <w:rFonts w:ascii="Times New Roman" w:hAnsi="Times New Roman" w:eastAsia="Times New Roman"/>
          <w:b/>
          <w:highlight w:val="none"/>
          <w:lang w:eastAsia="ru-RU"/>
        </w:rPr>
      </w:r>
      <w:r>
        <w:rPr>
          <w:rFonts w:ascii="Times New Roman" w:hAnsi="Times New Roman" w:eastAsia="Times New Roman"/>
          <w:b/>
          <w:highlight w:val="none"/>
        </w:rPr>
      </w:r>
    </w:p>
    <w:p>
      <w:pPr>
        <w:pStyle w:val="669"/>
        <w:spacing w:before="120" w:after="120" w:line="240" w:lineRule="auto"/>
        <w:tabs>
          <w:tab w:val="left" w:pos="720" w:leader="none"/>
          <w:tab w:val="right" w:pos="9356" w:leader="none"/>
        </w:tabs>
        <w:rPr>
          <w:rFonts w:ascii="Times New Roman" w:hAnsi="Times New Roman" w:eastAsia="Times New Roman"/>
          <w:highlight w:val="none"/>
        </w:rPr>
        <w:outlineLvl w:val="0"/>
      </w:pPr>
      <w:r>
        <w:rPr>
          <w:rFonts w:ascii="Times New Roman" w:hAnsi="Times New Roman" w:eastAsia="Times New Roman"/>
          <w:highlight w:val="none"/>
          <w:lang w:eastAsia="ru-RU"/>
        </w:rPr>
        <w:t xml:space="preserve">г. </w:t>
      </w:r>
      <w:r>
        <w:rPr>
          <w:rFonts w:ascii="Times New Roman" w:hAnsi="Times New Roman"/>
          <w:highlight w:val="none"/>
        </w:rPr>
        <w:t xml:space="preserve">Санкт-Петербург</w:t>
      </w:r>
      <w:r>
        <w:rPr>
          <w:rFonts w:ascii="Times New Roman" w:hAnsi="Times New Roman" w:eastAsia="Times New Roman"/>
          <w:highlight w:val="none"/>
          <w:lang w:eastAsia="ru-RU"/>
        </w:rPr>
        <w:tab/>
      </w:r>
      <w:r>
        <w:rPr>
          <w:rFonts w:ascii="Times New Roman" w:hAnsi="Times New Roman" w:eastAsia="Times New Roman"/>
          <w:highlight w:val="none"/>
          <w:lang w:eastAsia="ru-RU"/>
        </w:rPr>
        <w:t xml:space="preserve">05.08.2026</w:t>
      </w:r>
      <w:r>
        <w:rPr>
          <w:rFonts w:ascii="Times New Roman" w:hAnsi="Times New Roman" w:eastAsia="Times New Roman"/>
          <w:highlight w:val="none"/>
          <w:lang w:eastAsia="ru-RU"/>
        </w:rPr>
      </w:r>
      <w:r>
        <w:rPr>
          <w:rFonts w:ascii="Times New Roman" w:hAnsi="Times New Roman" w:eastAsia="Times New Roman"/>
          <w:highlight w:val="none"/>
        </w:rPr>
      </w:r>
    </w:p>
    <w:p>
      <w:pPr>
        <w:pStyle w:val="669"/>
        <w:ind w:right="-1" w:firstLine="851"/>
        <w:jc w:val="both"/>
        <w:spacing w:after="0" w:line="240" w:lineRule="auto"/>
        <w:rPr>
          <w:rFonts w:ascii="Times New Roman" w:hAnsi="Times New Roman"/>
          <w:highlight w:val="none"/>
        </w:rPr>
        <w:outlineLvl w:val="0"/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"http://www.pptk-mo</w:instrText>
      </w:r>
      <w:r>
        <w:rPr>
          <w:highlight w:val="none"/>
        </w:rPr>
        <w:instrText xml:space="preserve">s.ru/" </w:instrText>
      </w:r>
      <w:r>
        <w:rPr>
          <w:highlight w:val="none"/>
        </w:rPr>
        <w:fldChar w:fldCharType="separate"/>
      </w:r>
      <w:r>
        <w:rPr>
          <w:rFonts w:ascii="Times New Roman" w:hAnsi="Times New Roman"/>
          <w:highlight w:val="none"/>
        </w:rPr>
        <w:t xml:space="preserve">О</w:t>
      </w:r>
      <w:r>
        <w:rPr>
          <w:rFonts w:ascii="Times New Roman" w:hAnsi="Times New Roman"/>
          <w:highlight w:val="none"/>
        </w:rPr>
        <w:t xml:space="preserve">б</w:t>
      </w:r>
      <w:r>
        <w:rPr>
          <w:rFonts w:ascii="Times New Roman" w:hAnsi="Times New Roman"/>
          <w:highlight w:val="none"/>
        </w:rPr>
        <w:t xml:space="preserve">щество с огра</w:t>
      </w:r>
      <w:r>
        <w:rPr>
          <w:rFonts w:ascii="Times New Roman" w:hAnsi="Times New Roman"/>
          <w:highlight w:val="none"/>
        </w:rPr>
        <w:t xml:space="preserve">ниченной ответственностью «</w:t>
      </w:r>
      <w:r>
        <w:rPr>
          <w:rFonts w:ascii="Times New Roman" w:hAnsi="Times New Roman"/>
          <w:highlight w:val="none"/>
        </w:rPr>
        <w:t xml:space="preserve">ГЭХ Закупки» </w:t>
      </w:r>
      <w:r>
        <w:rPr>
          <w:rFonts w:ascii="Times New Roman" w:hAnsi="Times New Roman"/>
          <w:highlight w:val="none"/>
        </w:rPr>
        <w:fldChar w:fldCharType="end"/>
      </w:r>
      <w:r>
        <w:rPr>
          <w:rFonts w:ascii="Times New Roman" w:hAnsi="Times New Roman"/>
          <w:highlight w:val="none"/>
        </w:rPr>
        <w:t xml:space="preserve">(ООО «</w:t>
      </w:r>
      <w:r>
        <w:rPr>
          <w:rFonts w:ascii="Times New Roman" w:hAnsi="Times New Roman"/>
          <w:highlight w:val="none"/>
        </w:rPr>
        <w:t xml:space="preserve">ГЭХ Закупки</w:t>
      </w:r>
      <w:r>
        <w:rPr>
          <w:rFonts w:ascii="Times New Roman" w:hAnsi="Times New Roman"/>
          <w:highlight w:val="none"/>
        </w:rPr>
        <w:t xml:space="preserve">») </w:t>
      </w:r>
      <w:r>
        <w:rPr>
          <w:rFonts w:ascii="Times New Roman" w:hAnsi="Times New Roman"/>
          <w:highlight w:val="none"/>
        </w:rPr>
        <w:t xml:space="preserve">(</w:t>
      </w:r>
      <w:r>
        <w:rPr>
          <w:rFonts w:ascii="Times New Roman" w:hAnsi="Times New Roman"/>
          <w:highlight w:val="none"/>
        </w:rPr>
        <w:t xml:space="preserve">Адрес: </w:t>
      </w:r>
      <w:r>
        <w:rPr>
          <w:rFonts w:ascii="Times New Roman" w:hAnsi="Times New Roman"/>
          <w:highlight w:val="none"/>
        </w:rPr>
        <w:t xml:space="preserve">196006, г. Санкт-Петербург, ул. Ташкентская, д. 3, корп. 3, лит. А</w:t>
      </w:r>
      <w:r>
        <w:rPr>
          <w:rFonts w:ascii="Times New Roman" w:hAnsi="Times New Roman"/>
          <w:highlight w:val="none"/>
        </w:rPr>
        <w:t xml:space="preserve">), являясь уполномоченным агентом </w:t>
      </w:r>
      <w:r>
        <w:rPr>
          <w:rFonts w:ascii="Times New Roman" w:hAnsi="Times New Roman"/>
          <w:highlight w:val="none"/>
        </w:rPr>
        <w:t xml:space="preserve">Общества с ограниченной ответственностью «ПЕТЕРБУРГТЕПЛОЭНЕРГО» (ООО «Петербургтеплоэнерго»)</w:t>
      </w:r>
      <w:r>
        <w:rPr>
          <w:rFonts w:ascii="Times New Roman" w:hAnsi="Times New Roman"/>
          <w:highlight w:val="none"/>
        </w:rPr>
        <w:t xml:space="preserve"> (</w:t>
      </w:r>
      <w:r>
        <w:rPr>
          <w:rFonts w:ascii="Times New Roman" w:hAnsi="Times New Roman"/>
          <w:highlight w:val="none"/>
        </w:rPr>
        <w:t xml:space="preserve">А</w:t>
      </w:r>
      <w:r>
        <w:rPr>
          <w:rFonts w:ascii="Times New Roman" w:hAnsi="Times New Roman"/>
          <w:highlight w:val="none"/>
        </w:rPr>
        <w:t xml:space="preserve">дрес</w:t>
      </w:r>
      <w:r>
        <w:rPr>
          <w:rFonts w:ascii="Times New Roman" w:hAnsi="Times New Roman"/>
          <w:highlight w:val="none"/>
        </w:rPr>
        <w:t xml:space="preserve">: </w:t>
      </w:r>
      <w:r>
        <w:rPr>
          <w:rFonts w:ascii="Times New Roman" w:hAnsi="Times New Roman"/>
          <w:highlight w:val="none"/>
        </w:rPr>
        <w:t xml:space="preserve">196006, город Санкт-Петербург, вн.тер. г. Муниципальный Округ Московская Застава, пр-кт Лиговский, дом 266, строение 1, офис 11.1-Н.199</w:t>
      </w:r>
      <w:r>
        <w:rPr>
          <w:rFonts w:ascii="Times New Roman" w:hAnsi="Times New Roman"/>
          <w:highlight w:val="none"/>
        </w:rPr>
        <w:t xml:space="preserve">)</w:t>
      </w:r>
      <w:r>
        <w:rPr>
          <w:rFonts w:ascii="Times New Roman" w:hAnsi="Times New Roman"/>
          <w:highlight w:val="none"/>
        </w:rPr>
        <w:t xml:space="preserve"> (далее </w:t>
      </w:r>
      <w:r>
        <w:rPr>
          <w:rFonts w:ascii="Times New Roman" w:hAnsi="Times New Roman"/>
          <w:highlight w:val="none"/>
        </w:rPr>
        <w:t xml:space="preserve">– </w:t>
      </w:r>
      <w:r>
        <w:rPr>
          <w:rFonts w:ascii="Times New Roman" w:hAnsi="Times New Roman"/>
          <w:highlight w:val="none"/>
        </w:rPr>
        <w:t xml:space="preserve">Заказчик) и Организатором </w:t>
      </w:r>
      <w:r>
        <w:rPr>
          <w:rFonts w:ascii="Times New Roman" w:hAnsi="Times New Roman"/>
          <w:highlight w:val="none"/>
        </w:rPr>
        <w:t xml:space="preserve">маркетинговых исследований</w:t>
      </w:r>
      <w:r>
        <w:rPr>
          <w:rFonts w:ascii="Times New Roman" w:hAnsi="Times New Roman"/>
          <w:highlight w:val="none"/>
        </w:rPr>
        <w:t xml:space="preserve">,</w:t>
      </w:r>
      <w:r>
        <w:rPr>
          <w:rFonts w:ascii="Times New Roman" w:hAnsi="Times New Roman"/>
          <w:highlight w:val="none"/>
        </w:rPr>
        <w:t xml:space="preserve"> объявляет о проведении процедуры </w:t>
      </w:r>
      <w:r>
        <w:rPr>
          <w:rFonts w:ascii="Times New Roman" w:hAnsi="Times New Roman"/>
          <w:highlight w:val="none"/>
        </w:rPr>
        <w:t xml:space="preserve">открытых маркетинговы</w:t>
      </w:r>
      <w:r>
        <w:rPr>
          <w:rFonts w:ascii="Times New Roman" w:hAnsi="Times New Roman"/>
          <w:highlight w:val="none"/>
        </w:rPr>
        <w:t xml:space="preserve">х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исследований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в электронной форме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участниками котор</w:t>
      </w:r>
      <w:r>
        <w:rPr>
          <w:rFonts w:ascii="Times New Roman" w:hAnsi="Times New Roman"/>
          <w:highlight w:val="none"/>
        </w:rPr>
        <w:t xml:space="preserve">ых</w:t>
      </w:r>
      <w:r>
        <w:rPr>
          <w:rFonts w:ascii="Times New Roman" w:hAnsi="Times New Roman"/>
          <w:highlight w:val="none"/>
        </w:rPr>
        <w:t xml:space="preserve"> могут быть только субъекты малого и среднего предпринимательства </w:t>
      </w:r>
      <w:r>
        <w:rPr>
          <w:rFonts w:ascii="Times New Roman" w:hAnsi="Times New Roman"/>
          <w:highlight w:val="none"/>
        </w:rPr>
        <w:t xml:space="preserve">и приглашает юридических лиц и индивидуальных предпринимателей (далее </w:t>
      </w:r>
      <w:r>
        <w:rPr>
          <w:rFonts w:ascii="Times New Roman" w:hAnsi="Times New Roman"/>
          <w:highlight w:val="none"/>
        </w:rPr>
        <w:t xml:space="preserve">–</w:t>
      </w:r>
      <w:r>
        <w:rPr>
          <w:rFonts w:ascii="Times New Roman" w:hAnsi="Times New Roman"/>
          <w:highlight w:val="none"/>
        </w:rPr>
        <w:t xml:space="preserve"> Участники), с</w:t>
      </w:r>
      <w:r>
        <w:rPr>
          <w:rFonts w:ascii="Times New Roman" w:hAnsi="Times New Roman"/>
          <w:highlight w:val="none"/>
        </w:rPr>
        <w:t xml:space="preserve">пособных на законных основаниях </w:t>
      </w:r>
      <w:r>
        <w:rPr>
          <w:rFonts w:ascii="Times New Roman" w:hAnsi="Times New Roman"/>
          <w:b/>
          <w:highlight w:val="none"/>
        </w:rPr>
        <w:t xml:space="preserve">осуществить поставку Инвентаря для защиты работников при чрезвычайных ситуациях для нужд ООО «Петербургтеплоэнерго»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(далее </w:t>
      </w:r>
      <w:r>
        <w:rPr>
          <w:rFonts w:ascii="Times New Roman" w:hAnsi="Times New Roman"/>
          <w:highlight w:val="none"/>
        </w:rPr>
        <w:t xml:space="preserve">–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Поставка</w:t>
      </w:r>
      <w:r>
        <w:rPr>
          <w:rFonts w:ascii="Times New Roman" w:hAnsi="Times New Roman"/>
          <w:highlight w:val="none"/>
        </w:rPr>
        <w:t xml:space="preserve">), под</w:t>
      </w:r>
      <w:r>
        <w:rPr>
          <w:rFonts w:ascii="Times New Roman" w:hAnsi="Times New Roman"/>
          <w:highlight w:val="none"/>
        </w:rPr>
        <w:t xml:space="preserve">авать свои заявки для участия в </w:t>
      </w:r>
      <w:r>
        <w:rPr>
          <w:rFonts w:ascii="Times New Roman" w:hAnsi="Times New Roman"/>
          <w:highlight w:val="none"/>
        </w:rPr>
        <w:t xml:space="preserve">маркетинговых исследованиях</w:t>
      </w:r>
      <w:r>
        <w:rPr>
          <w:rFonts w:ascii="Times New Roman" w:hAnsi="Times New Roman"/>
          <w:highlight w:val="none"/>
        </w:rPr>
        <w:t xml:space="preserve"> в электронной форме (далее – </w:t>
      </w:r>
      <w:r>
        <w:rPr>
          <w:rFonts w:ascii="Times New Roman" w:hAnsi="Times New Roman"/>
          <w:highlight w:val="none"/>
        </w:rPr>
        <w:t xml:space="preserve">маркетинговые исследован</w:t>
      </w:r>
      <w:r>
        <w:rPr>
          <w:rFonts w:ascii="Times New Roman" w:hAnsi="Times New Roman"/>
          <w:highlight w:val="none"/>
        </w:rPr>
        <w:t xml:space="preserve">ия</w:t>
      </w:r>
      <w:r>
        <w:rPr>
          <w:rFonts w:ascii="Times New Roman" w:hAnsi="Times New Roman"/>
          <w:highlight w:val="none"/>
        </w:rPr>
        <w:t xml:space="preserve">)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52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6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ind w:left="34"/>
              <w:jc w:val="center"/>
              <w:spacing w:after="0"/>
              <w:tabs>
                <w:tab w:val="left" w:pos="1701" w:leader="none"/>
              </w:tabs>
              <w:rPr>
                <w:b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№ п/п</w:t>
            </w: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center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jc w:val="center"/>
              <w:spacing w:after="0"/>
              <w:tabs>
                <w:tab w:val="left" w:pos="1701" w:leader="none"/>
              </w:tabs>
              <w:rPr>
                <w:b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Информация о </w:t>
            </w:r>
            <w:r>
              <w:rPr>
                <w:b/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Организатор: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Общество с ограниченной ответственностью «</w:t>
            </w:r>
            <w:r>
              <w:rPr>
                <w:sz w:val="22"/>
                <w:szCs w:val="22"/>
                <w:highlight w:val="none"/>
              </w:rPr>
              <w:t xml:space="preserve">ГЭХ Закупки</w:t>
            </w:r>
            <w:r>
              <w:rPr>
                <w:sz w:val="22"/>
                <w:szCs w:val="22"/>
                <w:highlight w:val="none"/>
              </w:rPr>
              <w:t xml:space="preserve">» (ООО «</w:t>
            </w:r>
            <w:r>
              <w:rPr>
                <w:sz w:val="22"/>
                <w:szCs w:val="22"/>
                <w:highlight w:val="none"/>
              </w:rPr>
              <w:t xml:space="preserve">ГЭХ Закупки</w:t>
            </w:r>
            <w:r>
              <w:rPr>
                <w:sz w:val="22"/>
                <w:szCs w:val="22"/>
                <w:highlight w:val="none"/>
              </w:rPr>
              <w:t xml:space="preserve">»);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78"/>
              <w:numPr>
                <w:ilvl w:val="0"/>
                <w:numId w:val="0"/>
              </w:numPr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Место нахождения, почтовый адрес: </w:t>
            </w:r>
            <w:r>
              <w:rPr>
                <w:sz w:val="22"/>
                <w:szCs w:val="22"/>
                <w:highlight w:val="none"/>
              </w:rPr>
              <w:t xml:space="preserve">196006, г.</w:t>
            </w:r>
            <w:r>
              <w:rPr>
                <w:sz w:val="22"/>
                <w:szCs w:val="22"/>
                <w:highlight w:val="none"/>
              </w:rPr>
              <w:t xml:space="preserve"> </w:t>
            </w:r>
            <w:r>
              <w:rPr>
                <w:sz w:val="22"/>
                <w:szCs w:val="22"/>
                <w:highlight w:val="none"/>
              </w:rPr>
              <w:t xml:space="preserve">Санкт-Петербург, ул.Ташкентская, д. 3, корп. 3, лит. А</w:t>
            </w:r>
            <w:r>
              <w:rPr>
                <w:sz w:val="22"/>
                <w:szCs w:val="22"/>
                <w:highlight w:val="none"/>
              </w:rPr>
              <w:t xml:space="preserve">;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78"/>
              <w:numPr>
                <w:ilvl w:val="0"/>
                <w:numId w:val="0"/>
              </w:numPr>
              <w:jc w:val="both"/>
              <w:spacing w:after="0"/>
              <w:tabs>
                <w:tab w:val="left" w:pos="1701" w:leader="none"/>
              </w:tabs>
              <w:rPr>
                <w:color w:val="333399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</w:rPr>
              <w:t xml:space="preserve">Электронный адрес: </w:t>
            </w:r>
            <w:r>
              <w:rPr>
                <w:sz w:val="22"/>
                <w:szCs w:val="22"/>
                <w:highlight w:val="none"/>
              </w:rPr>
              <w:fldChar w:fldCharType="begin"/>
            </w:r>
            <w:r>
              <w:rPr>
                <w:sz w:val="22"/>
                <w:szCs w:val="22"/>
                <w:highlight w:val="none"/>
              </w:rPr>
              <w:instrText xml:space="preserve">HY</w:instrText>
            </w:r>
            <w:r>
              <w:rPr>
                <w:sz w:val="22"/>
                <w:szCs w:val="22"/>
                <w:highlight w:val="none"/>
              </w:rPr>
              <w:instrText xml:space="preserve">PERLINK "mailt</w:instrText>
            </w:r>
            <w:r>
              <w:rPr>
                <w:sz w:val="22"/>
                <w:szCs w:val="22"/>
                <w:highlight w:val="none"/>
              </w:rPr>
              <w:instrText xml:space="preserve">o:info@geh-zakupki.ru"</w:instrText>
            </w:r>
            <w:r>
              <w:rPr>
                <w:sz w:val="22"/>
                <w:szCs w:val="22"/>
                <w:highlight w:val="none"/>
              </w:rPr>
              <w:fldChar w:fldCharType="separate"/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t xml:space="preserve">info</w:t>
            </w:r>
            <w:r>
              <w:rPr>
                <w:rStyle w:val="682"/>
                <w:sz w:val="22"/>
                <w:szCs w:val="22"/>
                <w:highlight w:val="none"/>
              </w:rPr>
              <w:t xml:space="preserve">@</w:t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t xml:space="preserve">geh</w:t>
            </w:r>
            <w:r>
              <w:rPr>
                <w:rStyle w:val="682"/>
                <w:sz w:val="22"/>
                <w:szCs w:val="22"/>
                <w:highlight w:val="none"/>
              </w:rPr>
              <w:t xml:space="preserve">-</w:t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t xml:space="preserve">zakupki</w:t>
            </w:r>
            <w:r>
              <w:rPr>
                <w:rStyle w:val="682"/>
                <w:sz w:val="22"/>
                <w:szCs w:val="22"/>
                <w:highlight w:val="none"/>
              </w:rPr>
              <w:t xml:space="preserve">.</w:t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t xml:space="preserve">ru</w:t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fldChar w:fldCharType="end"/>
            </w:r>
            <w:r>
              <w:rPr>
                <w:rStyle w:val="682"/>
                <w:sz w:val="22"/>
                <w:szCs w:val="22"/>
                <w:highlight w:val="none"/>
              </w:rPr>
              <w:t xml:space="preserve">;</w:t>
            </w:r>
            <w:r>
              <w:rPr>
                <w:color w:val="333399"/>
                <w:sz w:val="22"/>
                <w:szCs w:val="22"/>
                <w:highlight w:val="none"/>
                <w:u w:val="single"/>
              </w:rPr>
              <w:t xml:space="preserve"> </w:t>
            </w:r>
            <w:r>
              <w:rPr>
                <w:color w:val="333399"/>
                <w:sz w:val="22"/>
                <w:szCs w:val="22"/>
                <w:highlight w:val="none"/>
                <w:u w:val="single"/>
              </w:rPr>
            </w:r>
          </w:p>
          <w:p>
            <w:pPr>
              <w:pStyle w:val="678"/>
              <w:numPr>
                <w:ilvl w:val="0"/>
                <w:numId w:val="0"/>
              </w:numPr>
              <w:jc w:val="both"/>
              <w:spacing w:before="40" w:after="4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Контактный телефон – 8 (495) 646-80-27; 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78"/>
              <w:numPr>
                <w:ilvl w:val="0"/>
                <w:numId w:val="0"/>
              </w:numPr>
              <w:jc w:val="both"/>
              <w:spacing w:before="40" w:after="40"/>
              <w:tabs>
                <w:tab w:val="left" w:pos="1701" w:leader="none"/>
              </w:tabs>
              <w:rPr>
                <w:color w:val="333399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</w:rPr>
              <w:t xml:space="preserve">8 (812) 760-80-37.</w:t>
            </w:r>
            <w:r>
              <w:rPr>
                <w:color w:val="333399"/>
                <w:sz w:val="22"/>
                <w:szCs w:val="22"/>
                <w:highlight w:val="none"/>
                <w:u w:val="single"/>
              </w:rPr>
            </w:r>
            <w:r>
              <w:rPr>
                <w:color w:val="333399"/>
                <w:sz w:val="22"/>
                <w:szCs w:val="22"/>
                <w:highlight w:val="none"/>
                <w:u w:val="singl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Заказчик: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Общество с ограниченной ответственностью «Петербургтеплоэнерго» (ООО «Петербургтеплоэнерго»)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Место нахождения</w:t>
            </w:r>
            <w:r>
              <w:rPr>
                <w:sz w:val="22"/>
                <w:szCs w:val="22"/>
                <w:highlight w:val="none"/>
              </w:rPr>
              <w:t xml:space="preserve">: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196006, город Санкт-Петербург, вн.тер. г. Муниципальный Округ Московская Застава, пр-кт Лиговский, дом 266, строение 1, офис 11.1-Н.199</w:t>
            </w:r>
            <w:r>
              <w:rPr>
                <w:sz w:val="22"/>
                <w:szCs w:val="22"/>
                <w:highlight w:val="none"/>
              </w:rPr>
              <w:t xml:space="preserve">;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Почтовый адрес: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196006, город Санкт-Петербург</w:t>
            </w:r>
            <w:r>
              <w:rPr>
                <w:sz w:val="22"/>
                <w:szCs w:val="22"/>
                <w:highlight w:val="none"/>
              </w:rPr>
              <w:t xml:space="preserve">, вн.тер. г. Муниципальный Округ Московская Застава, пр-кт Лиговский, дом 266, строение 1, офис 11.1-Н.199</w:t>
            </w:r>
            <w:r>
              <w:rPr>
                <w:sz w:val="22"/>
                <w:szCs w:val="22"/>
                <w:highlight w:val="none"/>
              </w:rPr>
              <w:t xml:space="preserve">;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Электронный адрес: </w:t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t xml:space="preserve">office@ptenergo</w:t>
            </w:r>
            <w:r>
              <w:rPr>
                <w:rStyle w:val="682"/>
                <w:sz w:val="22"/>
                <w:szCs w:val="22"/>
                <w:highlight w:val="none"/>
                <w:lang w:val="en-US"/>
              </w:rPr>
              <w:t xml:space="preserve">.ru</w:t>
            </w:r>
            <w:r>
              <w:rPr>
                <w:rStyle w:val="682"/>
                <w:sz w:val="22"/>
                <w:szCs w:val="22"/>
                <w:highlight w:val="none"/>
              </w:rPr>
              <w:t xml:space="preserve">;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Контактный </w:t>
            </w:r>
            <w:r>
              <w:rPr>
                <w:sz w:val="22"/>
                <w:szCs w:val="22"/>
                <w:highlight w:val="none"/>
              </w:rPr>
              <w:t xml:space="preserve">т</w:t>
            </w:r>
            <w:r>
              <w:rPr>
                <w:sz w:val="22"/>
                <w:szCs w:val="22"/>
                <w:highlight w:val="none"/>
              </w:rPr>
              <w:t xml:space="preserve">елефон</w:t>
            </w:r>
            <w:r>
              <w:rPr>
                <w:sz w:val="22"/>
                <w:szCs w:val="22"/>
                <w:highlight w:val="none"/>
              </w:rPr>
              <w:t xml:space="preserve"> –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+7 (812) 334-50-60 доб. 5739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Предмет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исследований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69"/>
              <w:jc w:val="both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Поставка Инвентаря для защиты работников при чрезвычайных ситуациях.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69"/>
              <w:jc w:val="both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Объем</w:t>
            </w:r>
            <w:r>
              <w:rPr>
                <w:rFonts w:ascii="Times New Roman" w:hAnsi="Times New Roman"/>
                <w:highlight w:val="none"/>
              </w:rPr>
              <w:t xml:space="preserve"> </w:t>
            </w:r>
            <w:r>
              <w:rPr>
                <w:rFonts w:ascii="Times New Roman" w:hAnsi="Times New Roman"/>
                <w:highlight w:val="none"/>
              </w:rPr>
              <w:t xml:space="preserve">поставки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69"/>
              <w:jc w:val="both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  <w:t xml:space="preserve">Конкретные</w:t>
            </w:r>
            <w:r>
              <w:rPr>
                <w:rFonts w:ascii="Times New Roman" w:hAnsi="Times New Roman"/>
                <w:highlight w:val="none"/>
              </w:rPr>
              <w:t xml:space="preserve"> наименования </w:t>
            </w:r>
            <w:r>
              <w:rPr>
                <w:rFonts w:ascii="Times New Roman" w:hAnsi="Times New Roman"/>
                <w:highlight w:val="none"/>
              </w:rPr>
              <w:t xml:space="preserve">поставки</w:t>
            </w:r>
            <w:r>
              <w:rPr>
                <w:rFonts w:ascii="Times New Roman" w:hAnsi="Times New Roman"/>
                <w:highlight w:val="none"/>
              </w:rPr>
              <w:t xml:space="preserve"> и их количество указаны в те</w:t>
            </w:r>
            <w:r>
              <w:rPr>
                <w:rFonts w:ascii="Times New Roman" w:hAnsi="Times New Roman"/>
                <w:highlight w:val="none"/>
              </w:rPr>
              <w:t xml:space="preserve">хническом зада</w:t>
            </w:r>
            <w:r>
              <w:rPr>
                <w:rFonts w:ascii="Times New Roman" w:hAnsi="Times New Roman"/>
                <w:highlight w:val="none"/>
              </w:rPr>
              <w:t xml:space="preserve">нии, являющемся неотъемлемой частью документации о </w:t>
            </w:r>
            <w:r>
              <w:rPr>
                <w:rFonts w:ascii="Times New Roman" w:hAnsi="Times New Roman"/>
                <w:highlight w:val="none"/>
              </w:rPr>
              <w:t xml:space="preserve">маркетинговых исследованиях</w:t>
            </w:r>
            <w:r>
              <w:rPr>
                <w:rFonts w:ascii="Times New Roman" w:hAnsi="Times New Roman"/>
                <w:highlight w:val="none"/>
              </w:rPr>
              <w:t xml:space="preserve">.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Место </w:t>
            </w:r>
            <w:r>
              <w:rPr>
                <w:sz w:val="22"/>
                <w:szCs w:val="22"/>
                <w:highlight w:val="none"/>
              </w:rPr>
              <w:t xml:space="preserve">поставки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С</w:t>
            </w:r>
            <w:r>
              <w:rPr>
                <w:sz w:val="22"/>
                <w:szCs w:val="22"/>
                <w:highlight w:val="none"/>
              </w:rPr>
              <w:t xml:space="preserve">огласно техническому заданию, проекту договора являющимися неотъемлемыми частями документации </w:t>
            </w:r>
            <w:r>
              <w:rPr>
                <w:sz w:val="22"/>
                <w:szCs w:val="22"/>
                <w:highlight w:val="none"/>
              </w:rPr>
              <w:t xml:space="preserve">о маркетинговых исследованиях.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С</w:t>
            </w:r>
            <w:r>
              <w:rPr>
                <w:sz w:val="22"/>
                <w:szCs w:val="22"/>
                <w:highlight w:val="none"/>
              </w:rPr>
              <w:t xml:space="preserve">пособ пров</w:t>
            </w:r>
            <w:r>
              <w:rPr>
                <w:sz w:val="22"/>
                <w:szCs w:val="22"/>
                <w:highlight w:val="none"/>
              </w:rPr>
              <w:t xml:space="preserve">едения </w:t>
            </w:r>
            <w:r>
              <w:rPr>
                <w:sz w:val="22"/>
                <w:szCs w:val="22"/>
                <w:highlight w:val="none"/>
              </w:rPr>
              <w:t xml:space="preserve">не</w:t>
            </w:r>
            <w:r>
              <w:rPr>
                <w:sz w:val="22"/>
                <w:szCs w:val="22"/>
                <w:highlight w:val="none"/>
              </w:rPr>
              <w:t xml:space="preserve">конку</w:t>
            </w:r>
            <w:r>
              <w:rPr>
                <w:sz w:val="22"/>
                <w:szCs w:val="22"/>
                <w:highlight w:val="none"/>
              </w:rPr>
              <w:t xml:space="preserve">рентной закупки: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Маркетинговые исследования (открытые)  в электронной форме (Далее – Маркетинговые исследования).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Контактные данные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Контактное лицо по организационным и процедурным вопросам – Специалист отдела проведения регламентированных </w:t>
            </w:r>
            <w:r>
              <w:rPr>
                <w:sz w:val="22"/>
                <w:szCs w:val="22"/>
                <w:highlight w:val="none"/>
              </w:rPr>
              <w:t xml:space="preserve">процедур: </w:t>
            </w:r>
            <w:r>
              <w:rPr>
                <w:sz w:val="22"/>
                <w:szCs w:val="22"/>
                <w:highlight w:val="none"/>
              </w:rPr>
              <w:t xml:space="preserve">Харазян Алина Арсеновна</w:t>
            </w:r>
            <w:r>
              <w:rPr>
                <w:sz w:val="22"/>
                <w:szCs w:val="22"/>
                <w:highlight w:val="none"/>
              </w:rPr>
              <w:t xml:space="preserve">;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Контактный телефон – 8 (495) 646-80-27 (</w:t>
            </w:r>
            <w:r>
              <w:rPr>
                <w:sz w:val="22"/>
                <w:szCs w:val="22"/>
                <w:highlight w:val="none"/>
              </w:rPr>
              <w:t xml:space="preserve">доб. 508</w:t>
            </w:r>
            <w:r>
              <w:rPr>
                <w:sz w:val="22"/>
                <w:szCs w:val="22"/>
                <w:highlight w:val="none"/>
              </w:rPr>
              <w:t xml:space="preserve">);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Электронная почта – </w:t>
            </w:r>
            <w:r>
              <w:rPr>
                <w:sz w:val="22"/>
                <w:szCs w:val="22"/>
                <w:highlight w:val="none"/>
              </w:rPr>
              <w:t xml:space="preserve">aharazian@geh-zaku</w:t>
            </w:r>
            <w:r>
              <w:rPr>
                <w:sz w:val="22"/>
                <w:szCs w:val="22"/>
                <w:highlight w:val="none"/>
              </w:rPr>
              <w:t xml:space="preserve">pki.ru</w:t>
            </w:r>
            <w:r>
              <w:rPr>
                <w:sz w:val="22"/>
                <w:szCs w:val="22"/>
                <w:highlight w:val="none"/>
              </w:rPr>
              <w:t xml:space="preserve">; 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Контактное лицо по вопросам вскрытия заявок –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Специалист отдела проведения регламентированных процед</w:t>
            </w:r>
            <w:r>
              <w:rPr>
                <w:sz w:val="22"/>
                <w:szCs w:val="22"/>
                <w:highlight w:val="none"/>
              </w:rPr>
              <w:t xml:space="preserve">ур: </w:t>
            </w:r>
            <w:r>
              <w:rPr>
                <w:sz w:val="22"/>
                <w:szCs w:val="22"/>
                <w:highlight w:val="none"/>
              </w:rPr>
              <w:t xml:space="preserve">Дубасова Алена Владимировна</w:t>
            </w:r>
            <w:r>
              <w:rPr>
                <w:sz w:val="22"/>
                <w:szCs w:val="22"/>
                <w:highlight w:val="none"/>
              </w:rPr>
              <w:t xml:space="preserve">; 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Контактный</w:t>
            </w:r>
            <w:r>
              <w:rPr>
                <w:sz w:val="22"/>
                <w:szCs w:val="22"/>
                <w:highlight w:val="none"/>
              </w:rPr>
              <w:t xml:space="preserve"> телефон – 8 </w:t>
            </w:r>
            <w:r>
              <w:rPr>
                <w:sz w:val="22"/>
                <w:szCs w:val="22"/>
                <w:highlight w:val="none"/>
              </w:rPr>
              <w:t xml:space="preserve">(495) 646-80-27 (</w:t>
            </w:r>
            <w:r>
              <w:rPr>
                <w:sz w:val="22"/>
                <w:szCs w:val="22"/>
                <w:highlight w:val="none"/>
              </w:rPr>
              <w:t xml:space="preserve">доб. 306</w:t>
            </w:r>
            <w:r>
              <w:rPr>
                <w:sz w:val="22"/>
                <w:szCs w:val="22"/>
                <w:highlight w:val="none"/>
              </w:rPr>
              <w:t xml:space="preserve">);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Электронная почта – </w:t>
            </w:r>
            <w:r>
              <w:rPr>
                <w:sz w:val="22"/>
                <w:szCs w:val="22"/>
                <w:highlight w:val="none"/>
                <w:lang w:val="en-US"/>
              </w:rPr>
              <w:t xml:space="preserve">adubasova@geh-zakupki.ru</w:t>
            </w:r>
            <w:r>
              <w:rPr>
                <w:sz w:val="22"/>
                <w:szCs w:val="22"/>
                <w:highlight w:val="none"/>
              </w:rPr>
              <w:t xml:space="preserve">;</w:t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Режим работы</w:t>
            </w:r>
            <w:r>
              <w:rPr>
                <w:sz w:val="22"/>
                <w:szCs w:val="22"/>
                <w:highlight w:val="none"/>
              </w:rPr>
              <w:t xml:space="preserve">: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пн.-чт.: 8:30-17:30, пт: 8:30-17:00</w:t>
            </w:r>
            <w:r>
              <w:rPr>
                <w:sz w:val="22"/>
                <w:szCs w:val="22"/>
                <w:highlight w:val="none"/>
              </w:rPr>
              <w:t xml:space="preserve"> (по московскому времени);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69"/>
              <w:jc w:val="both"/>
              <w:spacing w:before="40" w:after="40" w:line="240" w:lineRule="auto"/>
              <w:rPr>
                <w:rFonts w:ascii="Times New Roman" w:hAnsi="Times New Roman" w:eastAsia="Times New Roman"/>
                <w:highlight w:val="none"/>
              </w:rPr>
            </w:pPr>
            <w:r>
              <w:rPr>
                <w:highlight w:val="none"/>
              </w:rPr>
            </w:r>
            <w:bookmarkStart w:id="0" w:name="ПКонтактТехн"/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Контактное лицо по вопросам Технического з</w:t>
            </w: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адания</w:t>
            </w: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Контактный телефон</w:t>
            </w: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  <w:u w:val="single"/>
              </w:rPr>
              <w:t xml:space="preserve">+7 (812) 334-50-60, доб. 5029</w:t>
            </w:r>
            <w:r>
              <w:rPr>
                <w:rFonts w:ascii="Times New Roman" w:hAnsi="Times New Roman" w:eastAsia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rFonts w:eastAsia="Calibri"/>
                <w:sz w:val="22"/>
                <w:szCs w:val="22"/>
                <w:highlight w:val="none"/>
                <w:lang w:eastAsia="en-US"/>
              </w:rPr>
              <w:t xml:space="preserve">Электронная почта</w:t>
            </w:r>
            <w:r>
              <w:rPr>
                <w:rFonts w:eastAsia="Calibri"/>
                <w:sz w:val="22"/>
                <w:szCs w:val="22"/>
                <w:highlight w:val="none"/>
                <w:lang w:eastAsia="en-US"/>
              </w:rPr>
              <w:t xml:space="preserve"> –</w:t>
            </w:r>
            <w:bookmarkEnd w:id="0"/>
            <w:r>
              <w:rPr>
                <w:rFonts w:eastAsia="Calibri"/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highlight w:val="none"/>
                <w:u w:val="single"/>
              </w:rPr>
              <w:t xml:space="preserve">KhilmanEV@ptenergo.ru</w:t>
            </w:r>
            <w:r>
              <w:rPr>
                <w:rFonts w:eastAsia="Calibri"/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Порядок пре</w:t>
            </w:r>
            <w:r>
              <w:rPr>
                <w:sz w:val="22"/>
                <w:szCs w:val="22"/>
                <w:highlight w:val="none"/>
              </w:rPr>
              <w:t xml:space="preserve">доставления Документации о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line="240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Настоящая Документация о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sz w:val="22"/>
                <w:szCs w:val="22"/>
                <w:highlight w:val="none"/>
              </w:rPr>
              <w:t xml:space="preserve"> размещена в единой информационной системе в сфере закупок товаров, работ, услуг для обеспечени</w:t>
            </w:r>
            <w:r>
              <w:rPr>
                <w:sz w:val="22"/>
                <w:szCs w:val="22"/>
                <w:highlight w:val="none"/>
              </w:rPr>
              <w:t xml:space="preserve">я государственных и муниципальных нужд, </w:t>
            </w:r>
            <w:r>
              <w:rPr>
                <w:sz w:val="22"/>
                <w:szCs w:val="22"/>
                <w:highlight w:val="none"/>
              </w:rPr>
              <w:t xml:space="preserve">на </w:t>
            </w:r>
            <w:r>
              <w:rPr>
                <w:sz w:val="22"/>
                <w:szCs w:val="22"/>
                <w:highlight w:val="none"/>
              </w:rPr>
              <w:t xml:space="preserve">электронной</w:t>
            </w:r>
            <w:r>
              <w:rPr>
                <w:sz w:val="22"/>
                <w:szCs w:val="22"/>
                <w:highlight w:val="none"/>
              </w:rPr>
              <w:t xml:space="preserve"> площадке</w:t>
            </w:r>
            <w:r>
              <w:rPr>
                <w:sz w:val="22"/>
                <w:szCs w:val="22"/>
                <w:highlight w:val="none"/>
              </w:rPr>
              <w:t xml:space="preserve">, одновременно с размещением Извещения и доступна для ознакомления без взимания платы.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Единая информационная система в сфере закупок товаров, работ, услуг для обеспечения государственных и му</w:t>
            </w:r>
            <w:r>
              <w:rPr>
                <w:sz w:val="22"/>
                <w:szCs w:val="22"/>
                <w:highlight w:val="none"/>
              </w:rPr>
              <w:t xml:space="preserve">ниципальных нужд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fldChar w:fldCharType="begin"/>
            </w:r>
            <w:r>
              <w:rPr>
                <w:sz w:val="22"/>
                <w:szCs w:val="22"/>
                <w:highlight w:val="none"/>
              </w:rPr>
              <w:instrText xml:space="preserve"> HYPERLINK "http://www</w:instrText>
            </w:r>
            <w:r>
              <w:rPr>
                <w:sz w:val="22"/>
                <w:szCs w:val="22"/>
                <w:highlight w:val="none"/>
              </w:rPr>
              <w:instrText xml:space="preserve">.zakupki.gov.r</w:instrText>
            </w:r>
            <w:r>
              <w:rPr>
                <w:sz w:val="22"/>
                <w:szCs w:val="22"/>
                <w:highlight w:val="none"/>
              </w:rPr>
              <w:instrText xml:space="preserve">u" </w:instrText>
            </w:r>
            <w:r>
              <w:rPr>
                <w:sz w:val="22"/>
                <w:szCs w:val="22"/>
                <w:highlight w:val="none"/>
              </w:rPr>
              <w:fldChar w:fldCharType="separate"/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t xml:space="preserve">www.zakupki.gov.ru</w:t>
            </w:r>
            <w:r>
              <w:rPr>
                <w:sz w:val="22"/>
                <w:szCs w:val="22"/>
                <w:highlight w:val="none"/>
              </w:rPr>
              <w:fldChar w:fldCharType="end"/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Интернет-сайт Заказчика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www.ptenergo.ru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Интернет-сайт Организатора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  <w:fldChar w:fldCharType="begin"/>
            </w:r>
            <w:r>
              <w:rPr>
                <w:sz w:val="22"/>
                <w:szCs w:val="22"/>
                <w:highlight w:val="none"/>
                <w:lang w:val="en-US"/>
              </w:rPr>
              <w:instrText xml:space="preserve">HYPERLINK "http://www.geh-zakupki.ru/"</w:instrText>
            </w:r>
            <w:r>
              <w:rPr>
                <w:sz w:val="22"/>
                <w:szCs w:val="22"/>
                <w:highlight w:val="none"/>
                <w:lang w:val="en-US"/>
              </w:rPr>
              <w:fldChar w:fldCharType="separate"/>
            </w:r>
            <w:r>
              <w:rPr>
                <w:sz w:val="22"/>
                <w:szCs w:val="22"/>
                <w:highlight w:val="none"/>
                <w:lang w:val="en-US"/>
              </w:rPr>
              <w:t xml:space="preserve">www.geh-zakupki.ru</w:t>
            </w:r>
            <w:r>
              <w:rPr>
                <w:sz w:val="22"/>
                <w:szCs w:val="22"/>
                <w:highlight w:val="none"/>
                <w:lang w:val="en-US"/>
              </w:rPr>
              <w:fldChar w:fldCharType="end"/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Электронная </w:t>
            </w:r>
            <w:r>
              <w:rPr>
                <w:sz w:val="22"/>
                <w:szCs w:val="22"/>
                <w:highlight w:val="none"/>
              </w:rPr>
              <w:t xml:space="preserve">площ</w:t>
            </w:r>
            <w:r>
              <w:rPr>
                <w:sz w:val="22"/>
                <w:szCs w:val="22"/>
                <w:highlight w:val="none"/>
              </w:rPr>
              <w:t xml:space="preserve">адка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line="240" w:lineRule="auto"/>
              <w:tabs>
                <w:tab w:val="clear" w:pos="1134" w:leader="none"/>
              </w:tabs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highlight w:val="none"/>
              </w:rPr>
            </w:r>
            <w:bookmarkStart w:id="1" w:name="ПЭТП"/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fldChar w:fldCharType="begin"/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instrText xml:space="preserve">HYPERLINK "https://etpgpb.ru"</w:instrText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fldChar w:fldCharType="separate"/>
            </w:r>
            <w:bookmarkEnd w:id="1"/>
            <w:r>
              <w:rPr>
                <w:rStyle w:val="682"/>
                <w:sz w:val="22"/>
                <w:szCs w:val="22"/>
                <w:highlight w:val="none"/>
              </w:rPr>
              <w:t xml:space="preserve">www.etpgpb.ru</w:t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fldChar w:fldCharType="end"/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Порядок регистрации на сайте </w:t>
            </w:r>
            <w:r>
              <w:rPr>
                <w:sz w:val="22"/>
                <w:szCs w:val="22"/>
                <w:highlight w:val="none"/>
              </w:rPr>
              <w:t xml:space="preserve">электронной площадки</w:t>
            </w:r>
            <w:r>
              <w:rPr>
                <w:sz w:val="22"/>
                <w:szCs w:val="22"/>
                <w:highlight w:val="none"/>
              </w:rPr>
              <w:t xml:space="preserve">: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line="240" w:lineRule="auto"/>
              <w:tabs>
                <w:tab w:val="clear" w:pos="1134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Порядок регистрации для участия в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sz w:val="22"/>
                <w:szCs w:val="22"/>
                <w:highlight w:val="none"/>
              </w:rPr>
              <w:t xml:space="preserve"> указан в разделе «Регистрация» на сайте </w:t>
            </w:r>
            <w:r>
              <w:rPr>
                <w:sz w:val="22"/>
                <w:szCs w:val="22"/>
                <w:highlight w:val="none"/>
              </w:rPr>
              <w:t xml:space="preserve">электронной площадки</w:t>
            </w:r>
            <w:r>
              <w:rPr>
                <w:sz w:val="22"/>
                <w:szCs w:val="22"/>
                <w:highlight w:val="none"/>
              </w:rPr>
              <w:t xml:space="preserve"> по адресу: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bookmarkStart w:id="2" w:name="ПЭТП2"/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fldChar w:fldCharType="begin"/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instrText xml:space="preserve">HYPERLINK "htt</w:instrText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instrText xml:space="preserve">ps://etpgpb.ru"</w:instrText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fldChar w:fldCharType="separate"/>
            </w:r>
            <w:bookmarkEnd w:id="2"/>
            <w:r>
              <w:rPr>
                <w:rStyle w:val="682"/>
                <w:sz w:val="22"/>
                <w:szCs w:val="22"/>
                <w:highlight w:val="none"/>
              </w:rPr>
              <w:t xml:space="preserve">www.etpgpb.ru</w:t>
            </w:r>
            <w:r>
              <w:rPr>
                <w:rStyle w:val="682"/>
                <w:color w:val="000000"/>
                <w:sz w:val="22"/>
                <w:szCs w:val="22"/>
                <w:highlight w:val="none"/>
                <w:u w:val="none"/>
              </w:rPr>
              <w:fldChar w:fldCharType="end"/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Начальна</w:t>
            </w:r>
            <w:r>
              <w:rPr>
                <w:sz w:val="22"/>
                <w:szCs w:val="22"/>
                <w:highlight w:val="none"/>
              </w:rPr>
              <w:t xml:space="preserve">я </w:t>
            </w:r>
            <w:r>
              <w:rPr>
                <w:sz w:val="22"/>
                <w:szCs w:val="22"/>
                <w:highlight w:val="none"/>
              </w:rPr>
              <w:t xml:space="preserve">(максимальная) цена договора (цена лота)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491 656,55 руб. (без учета НДС)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Валюта заявки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Российский рубль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Размер, форма, срок и поря</w:t>
            </w:r>
            <w:r>
              <w:rPr>
                <w:sz w:val="22"/>
                <w:szCs w:val="22"/>
                <w:highlight w:val="none"/>
              </w:rPr>
              <w:t xml:space="preserve">док предоставления обеспечения Заявки на участие в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bookmarkStart w:id="3" w:name="пОбеспечение"/>
            <w:r>
              <w:rPr>
                <w:sz w:val="22"/>
                <w:szCs w:val="22"/>
                <w:highlight w:val="none"/>
              </w:rPr>
              <w:t xml:space="preserve">Не устанавливается</w:t>
            </w:r>
            <w:bookmarkEnd w:id="3"/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rStyle w:val="679"/>
                <w:i w:val="0"/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bookmarkStart w:id="4" w:name="пОбеспечениеАвансовый"/>
            <w:r>
              <w:rPr>
                <w:bCs/>
                <w:iCs/>
                <w:sz w:val="22"/>
                <w:szCs w:val="22"/>
                <w:highlight w:val="none"/>
              </w:rPr>
              <w:t xml:space="preserve">Обеспечение исполнения обязательств по договору</w:t>
            </w:r>
            <w:bookmarkEnd w:id="4"/>
            <w:r>
              <w:rPr>
                <w:rStyle w:val="679"/>
                <w:i w:val="0"/>
                <w:sz w:val="22"/>
                <w:szCs w:val="22"/>
                <w:highlight w:val="none"/>
              </w:rPr>
            </w:r>
            <w:r>
              <w:rPr>
                <w:rStyle w:val="679"/>
                <w:i w:val="0"/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bookmarkStart w:id="5" w:name="пОбеспечениеАвансовый1"/>
            <w:r>
              <w:rPr>
                <w:sz w:val="22"/>
                <w:szCs w:val="22"/>
                <w:highlight w:val="none"/>
              </w:rPr>
              <w:t xml:space="preserve">В соответствии с условиями проекта договора</w:t>
            </w:r>
            <w:bookmarkEnd w:id="5"/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bCs/>
                <w:iCs/>
                <w:sz w:val="22"/>
                <w:szCs w:val="22"/>
                <w:highlight w:val="none"/>
              </w:rPr>
            </w:pPr>
            <w:r>
              <w:rPr>
                <w:bCs/>
                <w:iCs/>
                <w:sz w:val="22"/>
                <w:szCs w:val="22"/>
                <w:highlight w:val="none"/>
              </w:rPr>
              <w:t xml:space="preserve">Банковское сопровождение </w:t>
            </w:r>
            <w:r>
              <w:rPr>
                <w:bCs/>
                <w:iCs/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Не примен</w:t>
            </w:r>
            <w:r>
              <w:rPr>
                <w:sz w:val="22"/>
                <w:szCs w:val="22"/>
                <w:highlight w:val="none"/>
              </w:rPr>
              <w:t xml:space="preserve">яется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highlight w:val="none"/>
              </w:rPr>
            </w:pPr>
            <w:r>
              <w:rPr>
                <w:bCs/>
                <w:iCs/>
                <w:sz w:val="22"/>
                <w:szCs w:val="22"/>
                <w:highlight w:val="none"/>
              </w:rPr>
              <w:t xml:space="preserve">Дата начала срока </w:t>
            </w:r>
            <w:r>
              <w:rPr>
                <w:bCs/>
                <w:iCs/>
                <w:sz w:val="22"/>
                <w:szCs w:val="22"/>
                <w:highlight w:val="none"/>
              </w:rPr>
              <w:t xml:space="preserve">подачи Заявок на участие в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rStyle w:val="679"/>
                <w:b w:val="0"/>
                <w:i w:val="0"/>
                <w:sz w:val="22"/>
                <w:szCs w:val="22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spacing w:before="0" w:after="0"/>
              <w:rPr>
                <w:rStyle w:val="679"/>
                <w:b w:val="0"/>
                <w:i w:val="0"/>
                <w:sz w:val="22"/>
                <w:szCs w:val="22"/>
                <w:highlight w:val="none"/>
              </w:rPr>
            </w:pPr>
            <w:r>
              <w:rPr>
                <w:bCs/>
                <w:iCs/>
                <w:sz w:val="22"/>
                <w:szCs w:val="22"/>
                <w:highlight w:val="none"/>
              </w:rPr>
              <w:t xml:space="preserve">Является дата публикации Документации в Ед</w:t>
            </w:r>
            <w:r>
              <w:rPr>
                <w:bCs/>
                <w:iCs/>
                <w:sz w:val="22"/>
                <w:szCs w:val="22"/>
                <w:highlight w:val="none"/>
              </w:rPr>
              <w:t xml:space="preserve">иной информационной системе </w:t>
            </w:r>
            <w:r>
              <w:rPr>
                <w:bCs/>
                <w:iCs/>
                <w:sz w:val="22"/>
                <w:szCs w:val="22"/>
                <w:highlight w:val="none"/>
              </w:rPr>
              <w:t xml:space="preserve">05 августа 2026</w:t>
            </w:r>
            <w:r>
              <w:rPr>
                <w:bCs/>
                <w:iCs/>
                <w:sz w:val="22"/>
                <w:szCs w:val="22"/>
                <w:highlight w:val="none"/>
              </w:rPr>
              <w:t xml:space="preserve"> г.</w:t>
            </w:r>
            <w:r>
              <w:rPr>
                <w:rStyle w:val="679"/>
                <w:b w:val="0"/>
                <w:i w:val="0"/>
                <w:sz w:val="22"/>
                <w:szCs w:val="22"/>
                <w:highlight w:val="none"/>
              </w:rPr>
              <w:t xml:space="preserve"> </w:t>
            </w:r>
            <w:r>
              <w:rPr>
                <w:rStyle w:val="679"/>
                <w:b w:val="0"/>
                <w:i w:val="0"/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Дата и время окончания подачи Заявок на участие в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исследованиях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13 августа 2026</w:t>
            </w:r>
            <w:r>
              <w:rPr>
                <w:sz w:val="22"/>
                <w:szCs w:val="22"/>
                <w:highlight w:val="none"/>
              </w:rPr>
              <w:t xml:space="preserve"> г. до </w:t>
            </w:r>
            <w:r>
              <w:rPr>
                <w:sz w:val="22"/>
                <w:szCs w:val="22"/>
                <w:highlight w:val="none"/>
              </w:rPr>
              <w:t xml:space="preserve">10:00</w:t>
            </w:r>
            <w:r>
              <w:rPr>
                <w:sz w:val="22"/>
                <w:szCs w:val="22"/>
                <w:highlight w:val="none"/>
              </w:rPr>
              <w:t xml:space="preserve"> ч. </w:t>
            </w:r>
            <w:r>
              <w:rPr>
                <w:sz w:val="22"/>
                <w:szCs w:val="22"/>
                <w:highlight w:val="none"/>
              </w:rPr>
              <w:t xml:space="preserve">(по московскому времени)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702"/>
              <w:spacing w:line="240" w:lineRule="auto"/>
              <w:tabs>
                <w:tab w:val="clear" w:pos="1134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Порядок подачи заявок на участие в  маркетинговых исследованиях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Подача заявки осуществляется в электронном виде с учетом особенностей и правил проведения, установленным электронной площадкой, требования</w:t>
            </w:r>
            <w:r>
              <w:rPr>
                <w:sz w:val="22"/>
                <w:szCs w:val="22"/>
                <w:highlight w:val="none"/>
              </w:rPr>
              <w:t xml:space="preserve"> к составу заявки указаны </w:t>
            </w:r>
            <w:r>
              <w:rPr>
                <w:sz w:val="22"/>
                <w:szCs w:val="22"/>
                <w:highlight w:val="none"/>
              </w:rPr>
              <w:t xml:space="preserve">в Документации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b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Дата начала и окончания направления запросов о разъяснении положений Документации от потенциальных Участников в адрес Организатора</w:t>
            </w: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line="240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Дата нача</w:t>
            </w:r>
            <w:r>
              <w:rPr>
                <w:sz w:val="22"/>
                <w:szCs w:val="22"/>
                <w:highlight w:val="none"/>
              </w:rPr>
              <w:t xml:space="preserve">ла предоставления разъяснений с</w:t>
            </w:r>
            <w:r>
              <w:rPr>
                <w:sz w:val="22"/>
                <w:szCs w:val="22"/>
                <w:highlight w:val="none"/>
              </w:rPr>
              <w:t xml:space="preserve"> момента публикации сведений о проведении </w:t>
            </w:r>
            <w:r>
              <w:rPr>
                <w:sz w:val="22"/>
                <w:szCs w:val="22"/>
                <w:highlight w:val="none"/>
              </w:rPr>
              <w:t xml:space="preserve">маркетинговых исследований</w:t>
            </w:r>
            <w:r>
              <w:rPr>
                <w:sz w:val="22"/>
                <w:szCs w:val="22"/>
                <w:highlight w:val="none"/>
              </w:rPr>
              <w:t xml:space="preserve">: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05 августа 2026</w:t>
            </w:r>
            <w:r>
              <w:rPr>
                <w:sz w:val="22"/>
                <w:szCs w:val="22"/>
                <w:highlight w:val="none"/>
              </w:rPr>
              <w:t xml:space="preserve"> г.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Дата окончания предоставления запросов о разъяснении положений Документации: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августа 2026</w:t>
            </w:r>
            <w:r>
              <w:rPr>
                <w:sz w:val="22"/>
                <w:szCs w:val="22"/>
                <w:highlight w:val="none"/>
              </w:rPr>
              <w:t xml:space="preserve"> г. </w:t>
            </w:r>
            <w:r>
              <w:rPr>
                <w:sz w:val="22"/>
                <w:szCs w:val="22"/>
                <w:highlight w:val="none"/>
              </w:rPr>
              <w:t xml:space="preserve">10:00</w:t>
            </w:r>
            <w:r>
              <w:rPr>
                <w:sz w:val="22"/>
                <w:szCs w:val="22"/>
                <w:highlight w:val="none"/>
              </w:rPr>
              <w:t xml:space="preserve"> ч. (по московскому времени)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Участник направляет запрос при помощи функционала Электронной площадки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Открыт</w:t>
            </w:r>
            <w:r>
              <w:rPr>
                <w:sz w:val="22"/>
                <w:szCs w:val="22"/>
                <w:highlight w:val="none"/>
              </w:rPr>
              <w:t xml:space="preserve">ие доступа к заявкам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line="240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13 августа 2026</w:t>
            </w:r>
            <w:r>
              <w:rPr>
                <w:sz w:val="22"/>
                <w:szCs w:val="22"/>
                <w:highlight w:val="none"/>
              </w:rPr>
              <w:t xml:space="preserve"> г. в </w:t>
            </w:r>
            <w:r>
              <w:rPr>
                <w:sz w:val="22"/>
                <w:szCs w:val="22"/>
                <w:highlight w:val="none"/>
              </w:rPr>
              <w:t xml:space="preserve">10:00</w:t>
            </w:r>
            <w:r>
              <w:rPr>
                <w:sz w:val="22"/>
                <w:szCs w:val="22"/>
                <w:highlight w:val="none"/>
              </w:rPr>
              <w:t xml:space="preserve"> ч. (по московскому времени) или в зависимости от работы и функционала площадки, открывается вся заявка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Рассмотрение заявок, подведение итогов: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Дата и время (по московскому времени)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 w:right="0"/>
              <w:jc w:val="both"/>
              <w:spacing w:before="0" w:after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До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30 сентября 2026</w:t>
            </w:r>
            <w:r>
              <w:rPr>
                <w:sz w:val="22"/>
                <w:szCs w:val="22"/>
                <w:highlight w:val="none"/>
              </w:rPr>
              <w:t xml:space="preserve"> г.</w:t>
            </w:r>
            <w:r>
              <w:rPr>
                <w:sz w:val="22"/>
                <w:szCs w:val="22"/>
                <w:highlight w:val="none"/>
              </w:rPr>
              <w:t xml:space="preserve"> (вк</w:t>
            </w:r>
            <w:r>
              <w:rPr>
                <w:sz w:val="22"/>
                <w:szCs w:val="22"/>
                <w:highlight w:val="none"/>
              </w:rPr>
              <w:t xml:space="preserve">лючительно)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Возможность </w:t>
            </w:r>
            <w:r>
              <w:rPr>
                <w:sz w:val="22"/>
                <w:szCs w:val="22"/>
                <w:highlight w:val="none"/>
              </w:rPr>
              <w:t xml:space="preserve">подачи </w:t>
            </w:r>
            <w:r>
              <w:rPr>
                <w:sz w:val="22"/>
                <w:szCs w:val="22"/>
                <w:highlight w:val="none"/>
              </w:rPr>
              <w:t xml:space="preserve">дополнительного</w:t>
            </w:r>
            <w:r>
              <w:rPr>
                <w:sz w:val="22"/>
                <w:szCs w:val="22"/>
                <w:highlight w:val="none"/>
              </w:rPr>
              <w:t xml:space="preserve"> ценового предложения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Подача </w:t>
            </w:r>
            <w:r>
              <w:rPr>
                <w:sz w:val="22"/>
                <w:szCs w:val="22"/>
                <w:highlight w:val="none"/>
              </w:rPr>
              <w:t xml:space="preserve">дополнительного</w:t>
            </w:r>
            <w:r>
              <w:rPr>
                <w:sz w:val="22"/>
                <w:szCs w:val="22"/>
                <w:highlight w:val="none"/>
              </w:rPr>
              <w:t xml:space="preserve"> ценового предложения возможна в случае указания об этом в уведомлении  электронной площадки при соответствующем решении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Возможность подачи Альтернативных предлож</w:t>
            </w:r>
            <w:r>
              <w:rPr>
                <w:sz w:val="22"/>
                <w:szCs w:val="22"/>
                <w:highlight w:val="none"/>
              </w:rPr>
              <w:t xml:space="preserve">ений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Не предусмотрена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</w:t>
            </w:r>
            <w:r>
              <w:rPr>
                <w:sz w:val="22"/>
                <w:szCs w:val="22"/>
                <w:highlight w:val="none"/>
              </w:rPr>
              <w:t xml:space="preserve">зможность </w:t>
            </w:r>
            <w:r>
              <w:rPr>
                <w:sz w:val="22"/>
                <w:szCs w:val="22"/>
                <w:highlight w:val="none"/>
              </w:rPr>
              <w:t xml:space="preserve">выбрать</w:t>
            </w:r>
            <w:r>
              <w:rPr>
                <w:sz w:val="22"/>
                <w:szCs w:val="22"/>
                <w:highlight w:val="none"/>
              </w:rPr>
              <w:t xml:space="preserve"> нескольких победителей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Не предусмотрена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Порядок подведения итогов маркетинговых исследований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Указан в Документации о проведении маркетинговых исследований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Условия </w:t>
            </w:r>
            <w:r>
              <w:rPr>
                <w:sz w:val="22"/>
                <w:szCs w:val="22"/>
                <w:highlight w:val="none"/>
              </w:rPr>
              <w:t xml:space="preserve">выбора</w:t>
            </w:r>
            <w:r>
              <w:rPr>
                <w:sz w:val="22"/>
                <w:szCs w:val="22"/>
                <w:highlight w:val="none"/>
              </w:rPr>
              <w:t xml:space="preserve"> нескольких победителей, заключения дог</w:t>
            </w:r>
            <w:r>
              <w:rPr>
                <w:sz w:val="22"/>
                <w:szCs w:val="22"/>
                <w:highlight w:val="none"/>
              </w:rPr>
              <w:t xml:space="preserve">оворов с несколькими Участ</w:t>
            </w:r>
            <w:r>
              <w:rPr>
                <w:sz w:val="22"/>
                <w:szCs w:val="22"/>
                <w:highlight w:val="none"/>
              </w:rPr>
              <w:t xml:space="preserve">никами (победителями)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Порядок </w:t>
            </w:r>
            <w:r>
              <w:rPr>
                <w:sz w:val="22"/>
                <w:szCs w:val="22"/>
                <w:highlight w:val="none"/>
              </w:rPr>
              <w:t xml:space="preserve">выбора</w:t>
            </w:r>
            <w:r>
              <w:rPr>
                <w:sz w:val="22"/>
                <w:szCs w:val="22"/>
                <w:highlight w:val="none"/>
              </w:rPr>
              <w:t xml:space="preserve"> нескольких победителей, заключения договоров с несколькими Участниками (победителями) указан в Документации о маркетинговых исследованиях 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81"/>
              <w:ind w:left="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Предоставление национального режима в соответствии с</w:t>
            </w:r>
            <w:r>
              <w:rPr>
                <w:sz w:val="22"/>
                <w:szCs w:val="22"/>
                <w:highlight w:val="none"/>
              </w:rPr>
              <w:t xml:space="preserve"> Постановлением Правительс</w:t>
            </w:r>
            <w:r>
              <w:rPr>
                <w:sz w:val="22"/>
                <w:szCs w:val="22"/>
                <w:highlight w:val="none"/>
              </w:rPr>
              <w:t xml:space="preserve">тва Российской Федерации от 23 декабря 2024 г. N 1875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vAlign w:val="top"/>
            <w:textDirection w:val="lrTb"/>
            <w:noWrap w:val="false"/>
          </w:tcPr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</w:t>
            </w:r>
            <w:r>
              <w:rPr>
                <w:sz w:val="22"/>
                <w:szCs w:val="22"/>
                <w:highlight w:val="none"/>
              </w:rPr>
              <w:t xml:space="preserve">в, работ, услуг, соответственно выполняемых, оказываемых иностранными лицами, по перечню согласно приложению N 2 ПП РФ №1875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(Перечень товаров, к которым применены меры, указаны в Ценовом предложении)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- преимущество в отношении товаров российского происхож</w:t>
            </w:r>
            <w:r>
              <w:rPr>
                <w:sz w:val="22"/>
                <w:szCs w:val="22"/>
                <w:highlight w:val="none"/>
              </w:rPr>
              <w:t xml:space="preserve">дения (в том числе поставляемых при выполнении закупаемых работ, оказании закупаемых услуг)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702"/>
              <w:spacing w:before="40" w:after="40" w:line="240" w:lineRule="auto"/>
              <w:tabs>
                <w:tab w:val="left" w:pos="708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top"/>
            <w:textDirection w:val="lrTb"/>
            <w:noWrap w:val="false"/>
          </w:tcPr>
          <w:p>
            <w:pPr>
              <w:pStyle w:val="681"/>
              <w:ind w:left="34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Маркетинговые исследования не являются торгами (конкурсом, аукционом, запросом предложений и запросом котировок) или публичным конкурсом в соответствии со стат</w:t>
            </w:r>
            <w:r>
              <w:rPr>
                <w:sz w:val="22"/>
                <w:szCs w:val="22"/>
                <w:highlight w:val="none"/>
              </w:rPr>
              <w:t xml:space="preserve">ьями 447-449 части первой </w:t>
            </w:r>
            <w:r>
              <w:rPr>
                <w:sz w:val="22"/>
                <w:szCs w:val="22"/>
                <w:highlight w:val="none"/>
              </w:rPr>
              <w:t xml:space="preserve">и статьями 1057-1061 части второй Гражданского кодекса Российской Федерации, и не накладыва</w:t>
            </w:r>
            <w:r>
              <w:rPr>
                <w:sz w:val="22"/>
                <w:szCs w:val="22"/>
                <w:highlight w:val="none"/>
              </w:rPr>
              <w:t xml:space="preserve">ю</w:t>
            </w:r>
            <w:r>
              <w:rPr>
                <w:sz w:val="22"/>
                <w:szCs w:val="22"/>
                <w:highlight w:val="none"/>
              </w:rPr>
              <w:t xml:space="preserve">т на Организатора и Заказчика обязательств, установленных указанными статьями Гражданского кодекса Российской Федерации.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ind w:left="34"/>
              <w:jc w:val="both"/>
              <w:spacing w:before="40" w:after="4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Организатор (За</w:t>
            </w:r>
            <w:r>
              <w:rPr>
                <w:sz w:val="22"/>
                <w:szCs w:val="22"/>
                <w:highlight w:val="none"/>
              </w:rPr>
              <w:t xml:space="preserve">казчик) вправе вносить изм</w:t>
            </w:r>
            <w:r>
              <w:rPr>
                <w:sz w:val="22"/>
                <w:szCs w:val="22"/>
                <w:highlight w:val="none"/>
              </w:rPr>
              <w:t xml:space="preserve">енения в Извещение о проведении маркетинговых исследований  и Документацию о маркетинговых исследованиях в любое время до истечения срока подачи заявок на участие в маркетинговых исследованиях.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ind w:left="34"/>
              <w:jc w:val="both"/>
              <w:spacing w:before="40" w:after="4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Организатор (Заказчик) имеет право</w:t>
            </w:r>
            <w:r>
              <w:rPr>
                <w:sz w:val="22"/>
                <w:szCs w:val="22"/>
                <w:highlight w:val="none"/>
              </w:rPr>
              <w:t xml:space="preserve"> продлить срок подачи заяв</w:t>
            </w:r>
            <w:r>
              <w:rPr>
                <w:sz w:val="22"/>
                <w:szCs w:val="22"/>
                <w:highlight w:val="none"/>
              </w:rPr>
              <w:t xml:space="preserve">ок на участие в маркетинговых исследованиях и соответственно перенести дату и время проведения процедуры вскрытия заявок в любое время до начала проведения процедуры открытия доступа к заявкам на участие в маркетинговых исследован</w:t>
            </w:r>
            <w:r>
              <w:rPr>
                <w:sz w:val="22"/>
                <w:szCs w:val="22"/>
                <w:highlight w:val="none"/>
              </w:rPr>
              <w:t xml:space="preserve">иях, а также до подведения</w:t>
            </w:r>
            <w:r>
              <w:rPr>
                <w:sz w:val="22"/>
                <w:szCs w:val="22"/>
                <w:highlight w:val="none"/>
              </w:rPr>
              <w:t xml:space="preserve"> итогов закупки изменить дату рассмотрения предложений участников закупки и подведения итогов маркетинговых исследований.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ind w:left="34"/>
              <w:jc w:val="both"/>
              <w:spacing w:before="40" w:after="4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Организатор (Заказчик) вправе отказаться от проведения маркетинговых исследований в любое время до подведе</w:t>
            </w:r>
            <w:r>
              <w:rPr>
                <w:sz w:val="22"/>
                <w:szCs w:val="22"/>
                <w:highlight w:val="none"/>
              </w:rPr>
              <w:t xml:space="preserve">ния его итогов. У Заказчик</w:t>
            </w:r>
            <w:r>
              <w:rPr>
                <w:sz w:val="22"/>
                <w:szCs w:val="22"/>
                <w:highlight w:val="none"/>
              </w:rPr>
              <w:t xml:space="preserve">а отсутствует обязанность заключать Договор по результатам маркетинговых исследований. 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ind w:left="34"/>
              <w:jc w:val="both"/>
              <w:spacing w:before="40" w:after="4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 соответствии с требованиями постановления Правительства РФ от 11.12.2014 № 1352 участниками маркетинговых исследований могут быть только с</w:t>
            </w:r>
            <w:r>
              <w:rPr>
                <w:sz w:val="22"/>
                <w:szCs w:val="22"/>
                <w:highlight w:val="none"/>
              </w:rPr>
              <w:t xml:space="preserve">убъекты малого и среднего </w:t>
            </w:r>
            <w:r>
              <w:rPr>
                <w:sz w:val="22"/>
                <w:szCs w:val="22"/>
                <w:highlight w:val="none"/>
              </w:rPr>
              <w:t xml:space="preserve">предпринимательства.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14"/>
              </w:numPr>
              <w:ind w:left="0" w:firstLine="34"/>
              <w:jc w:val="both"/>
              <w:spacing w:after="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8647" w:type="dxa"/>
            <w:vAlign w:val="top"/>
            <w:textDirection w:val="lrTb"/>
            <w:noWrap w:val="false"/>
          </w:tcPr>
          <w:p>
            <w:pPr>
              <w:pStyle w:val="678"/>
              <w:numPr>
                <w:ilvl w:val="0"/>
                <w:numId w:val="0"/>
              </w:numPr>
              <w:ind w:left="34"/>
              <w:jc w:val="both"/>
              <w:spacing w:before="40" w:after="40"/>
              <w:tabs>
                <w:tab w:val="left" w:pos="1701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Оценка Заявок Участников осуществляется с применением методики оценки и представляет собой оценку в баллах, получаемую по результатам оценки с учетом значимости критерия.</w:t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pPr>
        <w:pStyle w:val="669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80"/>
        <w:gridCol w:w="1620"/>
        <w:gridCol w:w="1701"/>
        <w:gridCol w:w="22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780" w:type="dxa"/>
            <w:vAlign w:val="center"/>
            <w:textDirection w:val="lrTb"/>
            <w:noWrap w:val="false"/>
          </w:tcPr>
          <w:p>
            <w:pPr>
              <w:pStyle w:val="669"/>
              <w:jc w:val="center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Должностное (ответственное) лицо</w:t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pStyle w:val="669"/>
              <w:jc w:val="center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Д</w:t>
            </w:r>
            <w:r>
              <w:rPr>
                <w:rFonts w:ascii="Times New Roman" w:hAnsi="Times New Roman"/>
                <w:highlight w:val="none"/>
              </w:rPr>
              <w:t xml:space="preserve">ата</w:t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69"/>
              <w:jc w:val="center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Подпись</w:t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2255" w:type="dxa"/>
            <w:vAlign w:val="center"/>
            <w:textDirection w:val="lrTb"/>
            <w:noWrap w:val="false"/>
          </w:tcPr>
          <w:p>
            <w:pPr>
              <w:pStyle w:val="669"/>
              <w:jc w:val="center"/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ФИО</w:t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5"/>
        </w:trPr>
        <w:tc>
          <w:tcPr>
            <w:tcW w:w="3780" w:type="dxa"/>
            <w:vAlign w:val="top"/>
            <w:textDirection w:val="lrTb"/>
            <w:noWrap w:val="false"/>
          </w:tcPr>
          <w:p>
            <w:pPr>
              <w:pStyle w:val="669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Специалис</w:t>
            </w:r>
            <w:r>
              <w:rPr>
                <w:rFonts w:ascii="Times New Roman" w:hAnsi="Times New Roman"/>
                <w:highlight w:val="none"/>
              </w:rPr>
              <w:t xml:space="preserve">т отдела проведения регламентированных процедур</w:t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1620" w:type="dxa"/>
            <w:vAlign w:val="top"/>
            <w:textDirection w:val="lrTb"/>
            <w:noWrap w:val="false"/>
          </w:tcPr>
          <w:p>
            <w:pPr>
              <w:pStyle w:val="669"/>
              <w:jc w:val="center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05.</w:t>
            </w: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08.2026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9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2255" w:type="dxa"/>
            <w:vAlign w:val="top"/>
            <w:textDirection w:val="lrTb"/>
            <w:noWrap w:val="false"/>
          </w:tcPr>
          <w:p>
            <w:pPr>
              <w:pStyle w:val="669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Дубасова Алена Владимировна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"/>
        </w:trPr>
        <w:tc>
          <w:tcPr>
            <w:tcW w:w="3780" w:type="dxa"/>
            <w:vAlign w:val="top"/>
            <w:textDirection w:val="lrTb"/>
            <w:noWrap w:val="false"/>
          </w:tcPr>
          <w:p>
            <w:pPr>
              <w:pStyle w:val="669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Специалист отдела проведения регламентированных процедур</w:t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1620" w:type="dxa"/>
            <w:vAlign w:val="top"/>
            <w:textDirection w:val="lrTb"/>
            <w:noWrap w:val="false"/>
          </w:tcPr>
          <w:p>
            <w:pPr>
              <w:pStyle w:val="669"/>
              <w:jc w:val="center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highlight w:val="none"/>
                <w:lang w:eastAsia="ru-RU"/>
              </w:rPr>
              <w:t xml:space="preserve">05.08.2026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9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W w:w="2255" w:type="dxa"/>
            <w:vAlign w:val="top"/>
            <w:textDirection w:val="lrTb"/>
            <w:noWrap w:val="false"/>
          </w:tcPr>
          <w:p>
            <w:pPr>
              <w:pStyle w:val="669"/>
              <w:spacing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Харазян Алина Арсеновна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</w:tbl>
    <w:p>
      <w:pPr>
        <w:pStyle w:val="669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69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sectPr>
      <w:footnotePr/>
      <w:endnotePr/>
      <w:type w:val="nextPage"/>
      <w:pgSz w:w="11906" w:h="16838" w:orient="portrait"/>
      <w:pgMar w:top="851" w:right="850" w:bottom="1134" w:left="1701" w:header="426" w:footer="502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6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3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2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8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8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444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i w:val="0"/>
        <w:iCs w:val="0"/>
        <w:caps w:val="0"/>
        <w:strike w:val="0"/>
        <w:vanish w:val="0"/>
        <w:color w:val="000000"/>
        <w:spacing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1134" w:leader="none"/>
        </w:tabs>
      </w:pPr>
      <w:rPr>
        <w:rFonts w:cs="Arial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0" w:firstLine="0"/>
        <w:tabs>
          <w:tab w:val="num" w:pos="1134" w:leader="none"/>
        </w:tabs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134" w:hanging="1134"/>
        <w:tabs>
          <w:tab w:val="num" w:pos="1134" w:leader="none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isLgl w:val="false"/>
      <w:suff w:val="tab"/>
      <w:lvlText w:val="%6)"/>
      <w:lvlJc w:val="left"/>
      <w:pPr>
        <w:ind w:left="1701" w:hanging="567"/>
        <w:tabs>
          <w:tab w:val="num" w:pos="1701" w:leader="none"/>
        </w:tabs>
      </w:pPr>
    </w:lvl>
    <w:lvl w:ilvl="6">
      <w:start w:val="1"/>
      <w:numFmt w:val="lowerRoman"/>
      <w:isLgl w:val="false"/>
      <w:suff w:val="tab"/>
      <w:lvlText w:val="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69" w:hanging="1224"/>
        <w:tabs>
          <w:tab w:val="num" w:pos="652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45" w:hanging="1440"/>
        <w:tabs>
          <w:tab w:val="num" w:pos="7245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8" w:hanging="960"/>
        <w:tabs>
          <w:tab w:val="num" w:pos="16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pStyle w:val="670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pStyle w:val="671"/>
      <w:isLgl w:val="false"/>
      <w:suff w:val="tab"/>
      <w:lvlText w:val="%1.%2."/>
      <w:lvlJc w:val="left"/>
      <w:pPr>
        <w:ind w:firstLine="720"/>
        <w:tabs>
          <w:tab w:val="num" w:pos="1021" w:leader="none"/>
        </w:tabs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pStyle w:val="677"/>
      <w:isLgl w:val="false"/>
      <w:suff w:val="tab"/>
      <w:lvlText w:val="%1.%2.%3."/>
      <w:lvlJc w:val="left"/>
      <w:pPr>
        <w:ind w:left="-141" w:firstLine="709"/>
        <w:tabs>
          <w:tab w:val="num" w:pos="568" w:leader="none"/>
        </w:tabs>
      </w:pPr>
      <w:rPr>
        <w:rFonts w:ascii="Times New Roman" w:hAnsi="Times New Roman" w:cs="Times New Roman"/>
        <w:b w:val="0"/>
        <w:i w:val="0"/>
        <w:sz w:val="28"/>
      </w:rPr>
    </w:lvl>
    <w:lvl w:ilvl="3">
      <w:start w:val="1"/>
      <w:numFmt w:val="decimal"/>
      <w:pStyle w:val="678"/>
      <w:isLgl w:val="false"/>
      <w:suff w:val="tab"/>
      <w:lvlText w:val="%1.%2.%3.%4."/>
      <w:lvlJc w:val="left"/>
      <w:pPr>
        <w:ind w:left="1432" w:hanging="864"/>
        <w:tabs>
          <w:tab w:val="num" w:pos="1432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5"/>
  </w:num>
  <w:num w:numId="11">
    <w:abstractNumId w:val="5"/>
  </w:num>
  <w:num w:numId="12">
    <w:abstractNumId w:val="5"/>
  </w:num>
  <w:num w:numId="13">
    <w:abstractNumId w:val="0"/>
  </w:num>
  <w:num w:numId="14">
    <w:abstractNumId w:val="1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6"/>
  </w:num>
  <w:num w:numId="40">
    <w:abstractNumId w:val="5"/>
  </w:num>
  <w:num w:numId="41">
    <w:abstractNumId w:val="3"/>
  </w:num>
  <w:num w:numId="42">
    <w:abstractNumId w:val="2"/>
  </w:num>
  <w:num w:numId="43">
    <w:abstractNumId w:val="5"/>
  </w:num>
  <w:num w:numId="44">
    <w:abstractNumId w:val="5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9"/>
    <w:next w:val="66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9"/>
    <w:next w:val="66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9"/>
    <w:next w:val="66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9"/>
    <w:next w:val="66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9"/>
    <w:next w:val="66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9"/>
    <w:next w:val="66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9"/>
    <w:next w:val="6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9"/>
    <w:next w:val="6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9"/>
    <w:next w:val="6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9"/>
    <w:next w:val="66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9"/>
    <w:next w:val="66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9"/>
    <w:next w:val="6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9"/>
    <w:next w:val="6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9"/>
    <w:next w:val="66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9"/>
    <w:next w:val="6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9"/>
    <w:next w:val="6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9"/>
    <w:next w:val="6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9"/>
    <w:next w:val="6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9"/>
    <w:next w:val="6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9"/>
    <w:next w:val="6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9"/>
    <w:next w:val="6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9"/>
    <w:next w:val="6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9"/>
    <w:next w:val="6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9"/>
    <w:next w:val="669"/>
    <w:uiPriority w:val="99"/>
    <w:unhideWhenUsed/>
    <w:pPr>
      <w:spacing w:after="0" w:afterAutospacing="0"/>
    </w:pPr>
  </w:style>
  <w:style w:type="paragraph" w:styleId="669" w:default="1">
    <w:name w:val="Normal"/>
    <w:next w:val="669"/>
    <w:link w:val="669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70">
    <w:name w:val="Заголовок 1,Заголовок 1_стандарта"/>
    <w:basedOn w:val="669"/>
    <w:next w:val="669"/>
    <w:link w:val="675"/>
    <w:qFormat/>
    <w:pPr>
      <w:numPr>
        <w:ilvl w:val="0"/>
        <w:numId w:val="1"/>
      </w:numPr>
      <w:jc w:val="right"/>
      <w:keepNext/>
      <w:spacing w:before="744" w:after="0" w:line="370" w:lineRule="exact"/>
      <w:shd w:val="clear" w:color="auto" w:fill="ffffff"/>
      <w:widowControl w:val="off"/>
      <w:outlineLvl w:val="0"/>
    </w:pPr>
    <w:rPr>
      <w:rFonts w:ascii="Times New Roman" w:hAnsi="Times New Roman" w:eastAsia="Times New Roman"/>
      <w:b/>
      <w:bCs/>
      <w:color w:val="000000"/>
      <w:spacing w:val="-3"/>
      <w:sz w:val="32"/>
      <w:szCs w:val="32"/>
      <w:lang w:val="en-US" w:eastAsia="en-US"/>
    </w:rPr>
  </w:style>
  <w:style w:type="paragraph" w:styleId="671">
    <w:name w:val="Заголовок 2"/>
    <w:basedOn w:val="669"/>
    <w:next w:val="669"/>
    <w:link w:val="676"/>
    <w:qFormat/>
    <w:pPr>
      <w:numPr>
        <w:ilvl w:val="1"/>
        <w:numId w:val="1"/>
      </w:numPr>
      <w:keepNext/>
      <w:spacing w:after="0" w:line="240" w:lineRule="auto"/>
      <w:widowControl w:val="off"/>
      <w:outlineLvl w:val="1"/>
    </w:pPr>
    <w:rPr>
      <w:rFonts w:ascii="Times New Roman" w:hAnsi="Times New Roman" w:eastAsia="Times New Roman"/>
      <w:sz w:val="28"/>
      <w:szCs w:val="28"/>
      <w:lang w:val="en-US" w:eastAsia="en-US"/>
    </w:rPr>
  </w:style>
  <w:style w:type="character" w:styleId="672">
    <w:name w:val="Основной шрифт абзаца"/>
    <w:next w:val="672"/>
    <w:link w:val="669"/>
    <w:uiPriority w:val="1"/>
    <w:unhideWhenUsed/>
  </w:style>
  <w:style w:type="table" w:styleId="673">
    <w:name w:val="Обычная таблица"/>
    <w:next w:val="673"/>
    <w:link w:val="669"/>
    <w:uiPriority w:val="99"/>
    <w:semiHidden/>
    <w:unhideWhenUsed/>
    <w:tblPr/>
  </w:style>
  <w:style w:type="numbering" w:styleId="674">
    <w:name w:val="Нет списка"/>
    <w:next w:val="674"/>
    <w:link w:val="669"/>
    <w:uiPriority w:val="99"/>
    <w:semiHidden/>
    <w:unhideWhenUsed/>
  </w:style>
  <w:style w:type="character" w:styleId="675">
    <w:name w:val="Заголовок 1 Знак,Заголовок 1_стандарта Знак"/>
    <w:next w:val="675"/>
    <w:link w:val="670"/>
    <w:rPr>
      <w:rFonts w:ascii="Times New Roman" w:hAnsi="Times New Roman" w:eastAsia="Times New Roman"/>
      <w:b/>
      <w:bCs/>
      <w:color w:val="000000"/>
      <w:spacing w:val="-3"/>
      <w:sz w:val="32"/>
      <w:szCs w:val="32"/>
      <w:shd w:val="clear" w:color="auto" w:fill="ffffff"/>
    </w:rPr>
  </w:style>
  <w:style w:type="character" w:styleId="676">
    <w:name w:val="Заголовок 2 Знак"/>
    <w:next w:val="676"/>
    <w:link w:val="671"/>
    <w:rPr>
      <w:rFonts w:ascii="Times New Roman" w:hAnsi="Times New Roman" w:eastAsia="Times New Roman"/>
      <w:sz w:val="28"/>
      <w:szCs w:val="28"/>
    </w:rPr>
  </w:style>
  <w:style w:type="paragraph" w:styleId="677">
    <w:name w:val="Продолжение списка 2"/>
    <w:basedOn w:val="669"/>
    <w:next w:val="677"/>
    <w:link w:val="669"/>
    <w:pPr>
      <w:numPr>
        <w:ilvl w:val="2"/>
        <w:numId w:val="1"/>
      </w:num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78">
    <w:name w:val="Продолжение списка 3"/>
    <w:basedOn w:val="669"/>
    <w:next w:val="678"/>
    <w:link w:val="669"/>
    <w:pPr>
      <w:numPr>
        <w:ilvl w:val="3"/>
        <w:numId w:val="1"/>
      </w:num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79">
    <w:name w:val="комментарий"/>
    <w:next w:val="679"/>
    <w:link w:val="669"/>
    <w:rPr>
      <w:b/>
      <w:bCs/>
      <w:i/>
      <w:iCs/>
      <w:shd w:val="clear" w:color="auto" w:fill="ffff99"/>
    </w:rPr>
  </w:style>
  <w:style w:type="table" w:styleId="680">
    <w:name w:val="Сетка таблицы"/>
    <w:basedOn w:val="673"/>
    <w:next w:val="680"/>
    <w:link w:val="669"/>
    <w:uiPriority w:val="59"/>
    <w:tblPr/>
  </w:style>
  <w:style w:type="paragraph" w:styleId="681">
    <w:name w:val="Текст таблицы"/>
    <w:basedOn w:val="669"/>
    <w:next w:val="681"/>
    <w:link w:val="669"/>
    <w:semiHidden/>
    <w:pPr>
      <w:ind w:left="57" w:right="57"/>
      <w:spacing w:before="40" w:after="4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82">
    <w:name w:val="Гиперссылка"/>
    <w:next w:val="682"/>
    <w:link w:val="669"/>
    <w:uiPriority w:val="99"/>
    <w:rPr>
      <w:color w:val="0000ff"/>
      <w:u w:val="single"/>
    </w:rPr>
  </w:style>
  <w:style w:type="character" w:styleId="683">
    <w:name w:val="Знак примечания"/>
    <w:next w:val="683"/>
    <w:link w:val="669"/>
    <w:uiPriority w:val="99"/>
    <w:semiHidden/>
    <w:unhideWhenUsed/>
    <w:rPr>
      <w:sz w:val="16"/>
      <w:szCs w:val="16"/>
    </w:rPr>
  </w:style>
  <w:style w:type="paragraph" w:styleId="684">
    <w:name w:val="Текст примечания"/>
    <w:basedOn w:val="669"/>
    <w:next w:val="684"/>
    <w:link w:val="685"/>
    <w:uiPriority w:val="99"/>
    <w:semiHidden/>
    <w:unhideWhenUsed/>
    <w:rPr>
      <w:sz w:val="20"/>
      <w:szCs w:val="20"/>
      <w:lang w:val="en-US"/>
    </w:rPr>
  </w:style>
  <w:style w:type="character" w:styleId="685">
    <w:name w:val="Текст примечания Знак"/>
    <w:next w:val="685"/>
    <w:link w:val="684"/>
    <w:uiPriority w:val="99"/>
    <w:semiHidden/>
    <w:rPr>
      <w:lang w:eastAsia="en-US"/>
    </w:rPr>
  </w:style>
  <w:style w:type="paragraph" w:styleId="686">
    <w:name w:val="Тема примечания"/>
    <w:basedOn w:val="684"/>
    <w:next w:val="684"/>
    <w:link w:val="687"/>
    <w:uiPriority w:val="99"/>
    <w:semiHidden/>
    <w:unhideWhenUsed/>
    <w:rPr>
      <w:b/>
      <w:bCs/>
    </w:rPr>
  </w:style>
  <w:style w:type="character" w:styleId="687">
    <w:name w:val="Тема примечания Знак"/>
    <w:next w:val="687"/>
    <w:link w:val="686"/>
    <w:uiPriority w:val="99"/>
    <w:semiHidden/>
    <w:rPr>
      <w:b/>
      <w:bCs/>
      <w:lang w:eastAsia="en-US"/>
    </w:rPr>
  </w:style>
  <w:style w:type="paragraph" w:styleId="688">
    <w:name w:val="Текст выноски"/>
    <w:basedOn w:val="669"/>
    <w:next w:val="688"/>
    <w:link w:val="689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89">
    <w:name w:val="Текст выноски Знак"/>
    <w:next w:val="689"/>
    <w:link w:val="688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690">
    <w:name w:val="Текст сноски"/>
    <w:basedOn w:val="669"/>
    <w:next w:val="690"/>
    <w:link w:val="691"/>
    <w:uiPriority w:val="99"/>
    <w:semiHidden/>
    <w:unhideWhenUsed/>
    <w:rPr>
      <w:sz w:val="20"/>
      <w:szCs w:val="20"/>
      <w:lang w:val="en-US"/>
    </w:rPr>
  </w:style>
  <w:style w:type="character" w:styleId="691">
    <w:name w:val="Текст сноски Знак"/>
    <w:next w:val="691"/>
    <w:link w:val="690"/>
    <w:uiPriority w:val="99"/>
    <w:semiHidden/>
    <w:rPr>
      <w:lang w:eastAsia="en-US"/>
    </w:rPr>
  </w:style>
  <w:style w:type="character" w:styleId="692">
    <w:name w:val="Знак сноски"/>
    <w:next w:val="692"/>
    <w:link w:val="669"/>
    <w:uiPriority w:val="99"/>
    <w:semiHidden/>
    <w:unhideWhenUsed/>
    <w:rPr>
      <w:vertAlign w:val="superscript"/>
    </w:rPr>
  </w:style>
  <w:style w:type="paragraph" w:styleId="693">
    <w:name w:val="ConsPlusCell"/>
    <w:next w:val="693"/>
    <w:link w:val="669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694">
    <w:name w:val="Верхний колонтитул"/>
    <w:basedOn w:val="669"/>
    <w:next w:val="694"/>
    <w:link w:val="69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5">
    <w:name w:val="Верхний колонтитул Знак"/>
    <w:next w:val="695"/>
    <w:link w:val="694"/>
    <w:uiPriority w:val="99"/>
    <w:rPr>
      <w:sz w:val="22"/>
      <w:szCs w:val="22"/>
      <w:lang w:eastAsia="en-US"/>
    </w:rPr>
  </w:style>
  <w:style w:type="paragraph" w:styleId="696">
    <w:name w:val="Нижний колонтитул"/>
    <w:basedOn w:val="669"/>
    <w:next w:val="696"/>
    <w:link w:val="69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7">
    <w:name w:val="Нижний колонтитул Знак"/>
    <w:next w:val="697"/>
    <w:link w:val="696"/>
    <w:uiPriority w:val="99"/>
    <w:rPr>
      <w:sz w:val="22"/>
      <w:szCs w:val="22"/>
      <w:lang w:eastAsia="en-US"/>
    </w:rPr>
  </w:style>
  <w:style w:type="paragraph" w:styleId="698">
    <w:name w:val="Пункт б/н"/>
    <w:basedOn w:val="669"/>
    <w:next w:val="698"/>
    <w:link w:val="669"/>
    <w:pPr>
      <w:ind w:firstLine="567"/>
      <w:jc w:val="both"/>
      <w:spacing w:after="0" w:line="360" w:lineRule="auto"/>
      <w:tabs>
        <w:tab w:val="left" w:pos="1134" w:leader="none"/>
      </w:tabs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99">
    <w:name w:val="paragraph_justify"/>
    <w:basedOn w:val="669"/>
    <w:next w:val="699"/>
    <w:link w:val="66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00">
    <w:name w:val="Основной текст с отступом"/>
    <w:basedOn w:val="669"/>
    <w:next w:val="700"/>
    <w:link w:val="701"/>
    <w:pPr>
      <w:ind w:left="540" w:hanging="540"/>
      <w:jc w:val="both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01">
    <w:name w:val="Основной текст с отступом Знак"/>
    <w:next w:val="701"/>
    <w:link w:val="700"/>
    <w:rPr>
      <w:rFonts w:ascii="Times New Roman" w:hAnsi="Times New Roman" w:eastAsia="Times New Roman"/>
      <w:sz w:val="24"/>
      <w:szCs w:val="24"/>
    </w:rPr>
  </w:style>
  <w:style w:type="paragraph" w:styleId="702">
    <w:name w:val="Пункт-3"/>
    <w:basedOn w:val="669"/>
    <w:next w:val="702"/>
    <w:link w:val="669"/>
    <w:pPr>
      <w:jc w:val="both"/>
      <w:spacing w:after="0" w:line="288" w:lineRule="auto"/>
      <w:tabs>
        <w:tab w:val="num" w:pos="1134" w:leader="none"/>
      </w:tabs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703">
    <w:name w:val="Пункт-4"/>
    <w:basedOn w:val="669"/>
    <w:next w:val="703"/>
    <w:link w:val="708"/>
    <w:pPr>
      <w:jc w:val="both"/>
      <w:spacing w:after="0" w:line="288" w:lineRule="auto"/>
      <w:tabs>
        <w:tab w:val="num" w:pos="1134" w:leader="none"/>
      </w:tabs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04">
    <w:name w:val="Пункт-6"/>
    <w:basedOn w:val="669"/>
    <w:next w:val="704"/>
    <w:link w:val="669"/>
    <w:pPr>
      <w:ind w:left="1701" w:hanging="567"/>
      <w:jc w:val="both"/>
      <w:spacing w:after="0" w:line="288" w:lineRule="auto"/>
      <w:tabs>
        <w:tab w:val="num" w:pos="1701" w:leader="none"/>
      </w:tabs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05">
    <w:name w:val="Пункт-5"/>
    <w:basedOn w:val="669"/>
    <w:next w:val="705"/>
    <w:link w:val="669"/>
    <w:pPr>
      <w:ind w:left="1134" w:hanging="1134"/>
      <w:jc w:val="both"/>
      <w:spacing w:after="0" w:line="288" w:lineRule="auto"/>
      <w:tabs>
        <w:tab w:val="num" w:pos="1134" w:leader="none"/>
      </w:tabs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06">
    <w:name w:val="Пункт-7"/>
    <w:basedOn w:val="669"/>
    <w:next w:val="706"/>
    <w:link w:val="669"/>
    <w:pPr>
      <w:ind w:left="2268" w:hanging="567"/>
      <w:jc w:val="both"/>
      <w:spacing w:after="0" w:line="288" w:lineRule="auto"/>
      <w:tabs>
        <w:tab w:val="num" w:pos="2268" w:leader="none"/>
      </w:tabs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07">
    <w:name w:val="Оглавление 2"/>
    <w:basedOn w:val="669"/>
    <w:next w:val="669"/>
    <w:link w:val="669"/>
    <w:uiPriority w:val="39"/>
    <w:pPr>
      <w:ind w:left="1078" w:right="845" w:hanging="539"/>
      <w:spacing w:after="60" w:line="240" w:lineRule="auto"/>
      <w:tabs>
        <w:tab w:val="left" w:pos="1080" w:leader="none"/>
        <w:tab w:val="right" w:pos="9356" w:leader="dot"/>
      </w:tabs>
    </w:pPr>
    <w:rPr>
      <w:rFonts w:ascii="Times New Roman" w:hAnsi="Times New Roman" w:eastAsia="Times New Roman"/>
      <w:bCs/>
      <w:sz w:val="24"/>
      <w:szCs w:val="24"/>
      <w:lang w:val="sr-Cyrl-CS" w:eastAsia="ru-RU"/>
    </w:rPr>
  </w:style>
  <w:style w:type="character" w:styleId="708">
    <w:name w:val="Пункт-4 Знак1"/>
    <w:next w:val="708"/>
    <w:link w:val="703"/>
    <w:rPr>
      <w:sz w:val="28"/>
      <w:lang w:val="ru-RU" w:eastAsia="ru-RU" w:bidi="ar-SA"/>
    </w:rPr>
  </w:style>
  <w:style w:type="paragraph" w:styleId="709">
    <w:name w:val="Пункт-3 подзаголовок"/>
    <w:basedOn w:val="669"/>
    <w:next w:val="709"/>
    <w:link w:val="669"/>
    <w:pPr>
      <w:ind w:left="-141" w:firstLine="709"/>
      <w:jc w:val="both"/>
      <w:keepNext/>
      <w:spacing w:before="360" w:after="120" w:line="288" w:lineRule="auto"/>
      <w:tabs>
        <w:tab w:val="num" w:pos="568" w:leader="none"/>
      </w:tabs>
      <w:outlineLvl w:val="2"/>
    </w:pPr>
    <w:rPr>
      <w:rFonts w:ascii="Times New Roman" w:hAnsi="Times New Roman" w:eastAsia="Times New Roman"/>
      <w:b/>
      <w:sz w:val="28"/>
      <w:szCs w:val="28"/>
      <w:lang w:eastAsia="ru-RU"/>
    </w:rPr>
  </w:style>
  <w:style w:type="character" w:styleId="710">
    <w:name w:val="Просмотренная гиперссылка"/>
    <w:next w:val="710"/>
    <w:link w:val="669"/>
    <w:uiPriority w:val="99"/>
    <w:semiHidden/>
    <w:unhideWhenUsed/>
    <w:rPr>
      <w:color w:val="954f72"/>
      <w:u w:val="single"/>
    </w:rPr>
  </w:style>
  <w:style w:type="paragraph" w:styleId="711">
    <w:name w:val="Рецензия"/>
    <w:next w:val="711"/>
    <w:link w:val="669"/>
    <w:hidden/>
    <w:uiPriority w:val="99"/>
    <w:semiHidden/>
    <w:rPr>
      <w:sz w:val="22"/>
      <w:szCs w:val="22"/>
      <w:lang w:val="ru-RU" w:eastAsia="en-US" w:bidi="ar-SA"/>
    </w:rPr>
  </w:style>
  <w:style w:type="character" w:styleId="2395" w:default="1">
    <w:name w:val="Default Paragraph Font"/>
    <w:uiPriority w:val="1"/>
    <w:semiHidden/>
    <w:unhideWhenUsed/>
  </w:style>
  <w:style w:type="numbering" w:styleId="2396" w:default="1">
    <w:name w:val="No List"/>
    <w:uiPriority w:val="99"/>
    <w:semiHidden/>
    <w:unhideWhenUsed/>
  </w:style>
  <w:style w:type="table" w:styleId="23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####</Company>
  <DocSecurity>0</DocSecurity>
  <HyperlinksChanged>false</HyperlinksChanged>
  <ScaleCrop>false</ScaleCrop>
  <SharedDoc>false</SharedDoc>
  <Template>Извещение о проведении запроса предложений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запроса предложений</dc:title>
  <dc:creator>Дмитрий Матюнин</dc:creator>
  <cp:lastModifiedBy>aharazian</cp:lastModifiedBy>
  <cp:revision>3</cp:revision>
  <dcterms:created xsi:type="dcterms:W3CDTF">2026-07-30T11:17:00Z</dcterms:created>
  <dcterms:modified xsi:type="dcterms:W3CDTF">2026-07-30T11:18:45Z</dcterms:modified>
  <cp:version>1048576</cp:version>
</cp:coreProperties>
</file>