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tabs>
          <w:tab w:val="left" w:pos="567"/>
          <w:tab w:val="left" w:pos="851"/>
        </w:tabs>
        <w:ind w:hanging="11"/>
        <w:jc w:val="right"/>
        <w:rPr>
          <w:snapToGrid w:val="0"/>
          <w:szCs w:val="24"/>
        </w:rPr>
      </w:pPr>
      <w:r>
        <w:rPr>
          <w:snapToGrid w:val="0"/>
          <w:szCs w:val="24"/>
        </w:rPr>
        <w:t xml:space="preserve">Приложение №</w:t>
      </w:r>
      <w:r>
        <w:rPr>
          <w:snapToGrid w:val="0"/>
          <w:szCs w:val="24"/>
        </w:rPr>
        <w:t xml:space="preserve"> </w:t>
      </w:r>
      <w:r>
        <w:rPr>
          <w:snapToGrid w:val="0"/>
          <w:szCs w:val="24"/>
        </w:rPr>
        <w:t xml:space="preserve">2</w:t>
      </w:r>
      <w:r>
        <w:rPr>
          <w:snapToGrid w:val="0"/>
          <w:szCs w:val="24"/>
        </w:rPr>
        <w:t xml:space="preserve"> </w:t>
      </w:r>
      <w:r>
        <w:rPr>
          <w:snapToGrid w:val="0"/>
          <w:szCs w:val="24"/>
        </w:rPr>
        <w:t xml:space="preserve">к Техническому заданию</w:t>
      </w:r>
    </w:p>
    <w:p>
      <w:pPr>
        <w:tabs>
          <w:tab w:val="left" w:pos="567"/>
          <w:tab w:val="left" w:pos="851"/>
        </w:tabs>
        <w:ind w:hanging="11"/>
        <w:jc w:val="center"/>
        <w:rPr>
          <w:b/>
          <w:snapToGrid w:val="0"/>
          <w:sz w:val="24"/>
          <w:szCs w:val="24"/>
        </w:rPr>
      </w:pPr>
    </w:p>
    <w:p>
      <w:pPr>
        <w:tabs>
          <w:tab w:val="left" w:pos="567"/>
          <w:tab w:val="left" w:pos="851"/>
        </w:tabs>
        <w:ind w:hanging="11"/>
        <w:jc w:val="center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 xml:space="preserve">Методика оценки заявок </w:t>
      </w:r>
    </w:p>
    <w:p>
      <w:pPr>
        <w:tabs>
          <w:tab w:val="left" w:pos="567"/>
          <w:tab w:val="left" w:pos="851"/>
        </w:tabs>
        <w:ind w:hanging="11"/>
        <w:jc w:val="center"/>
        <w:rPr>
          <w:b/>
          <w:snapToGrid w:val="0"/>
          <w:sz w:val="24"/>
          <w:szCs w:val="24"/>
        </w:rPr>
      </w:pPr>
    </w:p>
    <w:p>
      <w:pPr>
        <w:ind w:left="-284" w:firstLine="568"/>
        <w:jc w:val="both"/>
        <w:rPr>
          <w:snapToGrid w:val="0"/>
          <w:szCs w:val="24"/>
        </w:rPr>
      </w:pPr>
      <w:r>
        <w:rPr>
          <w:snapToGrid w:val="0"/>
          <w:szCs w:val="24"/>
        </w:rPr>
        <w:t xml:space="preserve">При оценке и ранжировании по степени предпочтительности Заявок применяются стоимостной и нестоимостной критерий.</w:t>
      </w:r>
    </w:p>
    <w:p>
      <w:pPr>
        <w:pStyle w:val="regl12"/>
        <w:ind w:left="-284" w:firstLine="568"/>
        <w:rPr>
          <w:sz w:val="20"/>
          <w:lang w:val="x-none"/>
        </w:rPr>
      </w:pPr>
      <w:r>
        <w:rPr>
          <w:sz w:val="20"/>
        </w:rPr>
        <w:t xml:space="preserve">Устанавливается следующее долевое соотношение между критериями</w:t>
      </w:r>
      <w:r>
        <w:rPr>
          <w:sz w:val="20"/>
          <w:lang w:val="x-none"/>
        </w:rPr>
        <w:t xml:space="preserve">:</w:t>
      </w:r>
    </w:p>
    <w:p>
      <w:pPr>
        <w:pStyle w:val="regl12"/>
        <w:ind w:left="-284" w:firstLine="851"/>
        <w:rPr>
          <w:sz w:val="20"/>
        </w:rPr>
      </w:pPr>
      <w:r>
        <w:rPr>
          <w:sz w:val="20"/>
        </w:rPr>
        <w:t xml:space="preserve">Таблица 1.</w:t>
      </w:r>
    </w:p>
    <w:tbl>
      <w:tblPr>
        <w:tblW w:w="10207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51"/>
        <w:gridCol w:w="2552"/>
        <w:gridCol w:w="3402"/>
        <w:gridCol w:w="3402"/>
      </w:tblGrid>
      <w:tr>
        <w:trPr>
          <w:trHeight w:val="376"/>
        </w:trPr>
        <w:tc>
          <w:tcPr>
            <w:tcW w:w="851" w:type="dxa"/>
          </w:tcPr>
          <w:p>
            <w:pPr>
              <w:pStyle w:val="regl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п/п</w:t>
            </w:r>
          </w:p>
        </w:tc>
        <w:tc>
          <w:tcPr>
            <w:tcW w:w="2552" w:type="dxa"/>
            <w:shd w:val="clear" w:color="auto" w:fill="auto"/>
          </w:tcPr>
          <w:p>
            <w:pPr>
              <w:pStyle w:val="regl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Критерий оценки заявок</w:t>
            </w:r>
          </w:p>
        </w:tc>
        <w:tc>
          <w:tcPr>
            <w:tcW w:w="3402" w:type="dxa"/>
          </w:tcPr>
          <w:p>
            <w:pPr>
              <w:pStyle w:val="regl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Значимость критерия оценки</w:t>
            </w:r>
          </w:p>
        </w:tc>
        <w:tc>
          <w:tcPr>
            <w:tcW w:w="3402" w:type="dxa"/>
            <w:vAlign w:val="center"/>
          </w:tcPr>
          <w:p>
            <w:pPr>
              <w:pStyle w:val="regl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Максимальное количество баллов</w:t>
            </w:r>
          </w:p>
        </w:tc>
      </w:tr>
      <w:tr>
        <w:trPr>
          <w:trHeight w:val="348"/>
        </w:trPr>
        <w:tc>
          <w:tcPr>
            <w:tcW w:w="851" w:type="dxa"/>
          </w:tcPr>
          <w:p>
            <w:pPr>
              <w:pStyle w:val="regl1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552" w:type="dxa"/>
            <w:shd w:val="clear" w:color="auto" w:fill="auto"/>
          </w:tcPr>
          <w:p>
            <w:pPr>
              <w:pStyle w:val="regl12"/>
              <w:jc w:val="left"/>
              <w:rPr>
                <w:sz w:val="20"/>
              </w:rPr>
            </w:pPr>
            <w:r>
              <w:rPr>
                <w:sz w:val="20"/>
              </w:rPr>
              <w:t xml:space="preserve">Стоимостной критерий </w:t>
            </w:r>
          </w:p>
        </w:tc>
        <w:tc>
          <w:tcPr>
            <w:tcW w:w="3402" w:type="dxa"/>
          </w:tcPr>
          <w:p>
            <w:pPr>
              <w:pStyle w:val="regl1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85%</w:t>
            </w:r>
          </w:p>
        </w:tc>
        <w:tc>
          <w:tcPr>
            <w:tcW w:w="3402" w:type="dxa"/>
            <w:vAlign w:val="center"/>
          </w:tcPr>
          <w:p>
            <w:pPr>
              <w:pStyle w:val="regl12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85 баллов</w:t>
            </w:r>
          </w:p>
        </w:tc>
      </w:tr>
      <w:tr>
        <w:trPr>
          <w:trHeight w:val="348"/>
        </w:trPr>
        <w:tc>
          <w:tcPr>
            <w:tcW w:w="851" w:type="dxa"/>
          </w:tcPr>
          <w:p>
            <w:pPr>
              <w:pStyle w:val="regl1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552" w:type="dxa"/>
            <w:shd w:val="clear" w:color="auto" w:fill="auto"/>
          </w:tcPr>
          <w:p>
            <w:pPr>
              <w:pStyle w:val="regl12"/>
              <w:jc w:val="left"/>
              <w:rPr>
                <w:sz w:val="20"/>
              </w:rPr>
            </w:pPr>
            <w:r>
              <w:rPr>
                <w:sz w:val="20"/>
              </w:rPr>
              <w:t xml:space="preserve">Нестоимостной критерий</w:t>
            </w:r>
          </w:p>
        </w:tc>
        <w:tc>
          <w:tcPr>
            <w:tcW w:w="3402" w:type="dxa"/>
          </w:tcPr>
          <w:p>
            <w:pPr>
              <w:pStyle w:val="regl1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15%</w:t>
            </w:r>
          </w:p>
        </w:tc>
        <w:tc>
          <w:tcPr>
            <w:tcW w:w="3402" w:type="dxa"/>
            <w:vAlign w:val="center"/>
          </w:tcPr>
          <w:p>
            <w:pPr>
              <w:pStyle w:val="regl12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15 баллов</w:t>
            </w:r>
          </w:p>
        </w:tc>
      </w:tr>
      <w:tr>
        <w:trPr>
          <w:trHeight w:val="348"/>
        </w:trPr>
        <w:tc>
          <w:tcPr>
            <w:tcW w:w="851" w:type="dxa"/>
          </w:tcPr>
          <w:p>
            <w:pPr>
              <w:pStyle w:val="regl12"/>
              <w:jc w:val="center"/>
              <w:rPr>
                <w:b/>
                <w:sz w:val="20"/>
              </w:rPr>
            </w:pPr>
          </w:p>
        </w:tc>
        <w:tc>
          <w:tcPr>
            <w:tcW w:w="2552" w:type="dxa"/>
            <w:shd w:val="clear" w:color="auto" w:fill="auto"/>
          </w:tcPr>
          <w:p>
            <w:pPr>
              <w:pStyle w:val="regl1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Всего</w:t>
            </w:r>
          </w:p>
        </w:tc>
        <w:tc>
          <w:tcPr>
            <w:tcW w:w="3402" w:type="dxa"/>
          </w:tcPr>
          <w:p>
            <w:pPr>
              <w:pStyle w:val="regl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100%</w:t>
            </w:r>
          </w:p>
        </w:tc>
        <w:tc>
          <w:tcPr>
            <w:tcW w:w="3402" w:type="dxa"/>
            <w:vAlign w:val="center"/>
          </w:tcPr>
          <w:p>
            <w:pPr>
              <w:pStyle w:val="regl12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100 баллов</w:t>
            </w:r>
          </w:p>
        </w:tc>
      </w:tr>
    </w:tbl>
    <w:p>
      <w:pPr>
        <w:pStyle w:val="20"/>
        <w:shd w:val="clear" w:color="auto" w:fill="auto"/>
        <w:spacing w:before="0" w:line="240" w:lineRule="auto"/>
        <w:ind w:left="-284" w:firstLine="56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Рейтинг представляет собой оценки в баллах, получаемые по результатам оценки по критериям. Дробное значение рейтинга округляется до двух десятичных знаков после запятой по математическим правилам округления.</w:t>
      </w:r>
    </w:p>
    <w:p>
      <w:pPr>
        <w:pStyle w:val="20"/>
        <w:shd w:val="clear" w:color="auto" w:fill="auto"/>
        <w:spacing w:before="0" w:line="240" w:lineRule="auto"/>
        <w:ind w:left="-284" w:firstLine="56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Наилучшей признается заявка, которая по заключению экспертов набрал</w:t>
      </w:r>
      <w:r>
        <w:rPr>
          <w:rFonts w:ascii="Times New Roman" w:hAnsi="Times New Roman" w:cs="Times New Roman"/>
          <w:sz w:val="20"/>
          <w:szCs w:val="20"/>
        </w:rPr>
        <w:t xml:space="preserve">а наибольшее количество баллов. </w:t>
      </w:r>
      <w:r>
        <w:rPr>
          <w:rFonts w:ascii="Times New Roman" w:hAnsi="Times New Roman" w:cs="Times New Roman"/>
          <w:sz w:val="20"/>
          <w:szCs w:val="20"/>
        </w:rPr>
        <w:t xml:space="preserve">При равенстве баллов участников, наилучшей признается заявка участника, которая была подана ранее.</w:t>
      </w:r>
    </w:p>
    <w:p>
      <w:pPr>
        <w:pStyle w:val="20"/>
        <w:shd w:val="clear" w:color="auto" w:fill="auto"/>
        <w:spacing w:before="0" w:line="240" w:lineRule="auto"/>
        <w:ind w:left="-284" w:firstLine="568"/>
        <w:rPr>
          <w:rFonts w:ascii="Times New Roman" w:hAnsi="Times New Roman" w:cs="Times New Roman"/>
          <w:sz w:val="20"/>
          <w:szCs w:val="20"/>
        </w:rPr>
      </w:pPr>
    </w:p>
    <w:p>
      <w:pPr>
        <w:pStyle w:val="regl12"/>
        <w:numPr>
          <w:numId w:val="1"/>
          <w:ilvl w:val="1"/>
        </w:numPr>
        <w:ind w:left="426" w:hanging="284"/>
        <w:rPr>
          <w:b/>
          <w:sz w:val="20"/>
        </w:rPr>
      </w:pPr>
      <w:r>
        <w:rPr>
          <w:b/>
          <w:sz w:val="20"/>
        </w:rPr>
        <w:t xml:space="preserve">Оценка стоимостного критерия</w:t>
      </w:r>
      <w:r>
        <w:rPr>
          <w:b/>
          <w:sz w:val="20"/>
        </w:rPr>
        <w:t xml:space="preserve">*</w:t>
      </w:r>
      <w:r>
        <w:rPr>
          <w:b/>
          <w:sz w:val="20"/>
        </w:rPr>
        <w:t xml:space="preserve">:</w:t>
      </w:r>
    </w:p>
    <w:p>
      <w:pPr>
        <w:pStyle w:val="regl12"/>
        <w:ind w:left="567"/>
        <w:rPr>
          <w:sz w:val="20"/>
        </w:rPr>
      </w:pPr>
      <w:r>
        <w:rPr>
          <w:sz w:val="20"/>
        </w:rPr>
        <w:t xml:space="preserve">Таблица </w:t>
      </w:r>
      <w:r>
        <w:rPr>
          <w:sz w:val="20"/>
        </w:rPr>
        <w:t xml:space="preserve">2</w:t>
      </w:r>
      <w:r>
        <w:rPr>
          <w:sz w:val="20"/>
        </w:rPr>
        <w:t xml:space="preserve">.</w:t>
      </w:r>
    </w:p>
    <w:tbl>
      <w:tblPr>
        <w:tblW w:w="10207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276"/>
        <w:gridCol w:w="1700"/>
        <w:gridCol w:w="7231"/>
      </w:tblGrid>
      <w:tr>
        <w:trPr>
          <w:trHeight w:val="20"/>
        </w:trPr>
        <w:tc>
          <w:tcPr>
            <w:tcW w:w="1276" w:type="dxa"/>
            <w:shd w:val="clear" w:color="auto" w:fill="auto"/>
            <w:vAlign w:val="center"/>
            <w:hideMark/>
          </w:tcPr>
          <w:p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Критерий оценки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Предмет оценки</w:t>
            </w:r>
          </w:p>
        </w:tc>
        <w:tc>
          <w:tcPr>
            <w:tcW w:w="7231" w:type="dxa"/>
            <w:vAlign w:val="center"/>
          </w:tcPr>
          <w:p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Принцип расчета критерия</w:t>
            </w:r>
          </w:p>
        </w:tc>
      </w:tr>
      <w:tr>
        <w:trPr>
          <w:trHeight w:val="1764"/>
        </w:trPr>
        <w:tc>
          <w:tcPr>
            <w:tcW w:w="1276" w:type="dxa"/>
            <w:shd w:val="clear" w:color="auto" w:fill="auto"/>
            <w:hideMark/>
          </w:tcPr>
          <w:p>
            <w:pPr>
              <w:rPr>
                <w:szCs w:val="24"/>
              </w:rPr>
            </w:pPr>
            <w:r>
              <w:rPr>
                <w:rFonts w:eastAsia="Calibri"/>
                <w:szCs w:val="24"/>
              </w:rPr>
              <w:t xml:space="preserve">Уровень цены заявки</w:t>
            </w:r>
          </w:p>
        </w:tc>
        <w:tc>
          <w:tcPr>
            <w:tcW w:w="1700" w:type="dxa"/>
            <w:shd w:val="clear" w:color="auto" w:fill="auto"/>
            <w:hideMark/>
          </w:tcPr>
          <w:p>
            <w:pPr>
              <w:rPr>
                <w:szCs w:val="24"/>
              </w:rPr>
            </w:pPr>
            <w:r>
              <w:rPr>
                <w:rFonts w:eastAsia="Calibri"/>
                <w:szCs w:val="24"/>
              </w:rPr>
              <w:t xml:space="preserve">Ценовое предложение участника</w:t>
            </w:r>
          </w:p>
        </w:tc>
        <w:tc>
          <w:tcPr>
            <w:tcW w:w="7231" w:type="dxa"/>
          </w:tcPr>
          <w:p>
            <w:pPr>
              <w:spacing w:after="160" w:line="259" w:lineRule="auto"/>
              <w:ind w:left="1144"/>
              <w:contextualSpacing/>
              <w:jc w:val="center"/>
              <w:rPr>
                <w:rFonts w:eastAsia="Calibri"/>
                <w:szCs w:val="24"/>
              </w:rPr>
            </w:pPr>
            <w:r>
              <w:rPr>
                <w:rFonts w:ascii="Calibri" w:hAnsi="Calibri" w:eastAsia="Calibri"/>
                <w:position w:val="-24"/>
                <w:szCs w:val="24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38860" cy="438785"/>
                      <wp:effectExtent l="0" t="0" r="889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 noChangeArrowheads="1"/>
                              </pic:cNvPicPr>
                              <pic:nvPr/>
                            </pic:nvPicPr>
                            <pic:blipFill>
                              <a:blip r:embed="rId10">
                                <a:extLst>
                                  <a:ext uri="{96DAC541-7B7A-43D3-8B79-37D633B846F1}">
                                    <asvg:svgBlip xmlns:asvg="http://schemas.microsoft.com/office/drawing/2016/SVG/main" r:embed="rId11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38860" cy="4387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81.80pt;height:34.5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eastAsia="Calibri"/>
                <w:szCs w:val="24"/>
              </w:rPr>
              <w:t xml:space="preserve">,</w:t>
            </w:r>
          </w:p>
          <w:p>
            <w:pPr>
              <w:spacing w:after="160" w:line="259" w:lineRule="auto"/>
              <w:ind w:firstLine="426"/>
              <w:contextualSpacing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где:</w:t>
            </w:r>
          </w:p>
          <w:p>
            <w:pPr>
              <w:spacing w:after="160" w:line="259" w:lineRule="auto"/>
              <w:ind w:firstLine="195"/>
              <w:contextualSpacing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ЦБ</w:t>
            </w:r>
            <w:r>
              <w:rPr>
                <w:rFonts w:eastAsia="Calibri"/>
                <w:szCs w:val="24"/>
                <w:vertAlign w:val="subscript"/>
              </w:rPr>
              <w:t xml:space="preserve">i</w:t>
            </w:r>
            <w:r>
              <w:rPr>
                <w:rFonts w:eastAsia="Calibri"/>
                <w:szCs w:val="24"/>
              </w:rPr>
              <w:t xml:space="preserve"> - оценка, присуждаемая i-й Заявке по указанному критерию;</w:t>
            </w:r>
          </w:p>
          <w:p>
            <w:pPr>
              <w:spacing w:before="200" w:after="160" w:line="259" w:lineRule="auto"/>
              <w:ind w:firstLine="195"/>
              <w:contextualSpacing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Ц</w:t>
            </w:r>
            <w:r>
              <w:rPr>
                <w:rFonts w:eastAsia="Calibri"/>
                <w:szCs w:val="24"/>
                <w:vertAlign w:val="subscript"/>
              </w:rPr>
              <w:t xml:space="preserve">i</w:t>
            </w:r>
            <w:r>
              <w:rPr>
                <w:rFonts w:eastAsia="Calibri"/>
                <w:szCs w:val="24"/>
              </w:rPr>
              <w:t xml:space="preserve"> - предложение участника закупки, заявка (предложение) которого оценивается;</w:t>
            </w:r>
          </w:p>
          <w:p>
            <w:pPr>
              <w:tabs>
                <w:tab w:val="left" w:pos="1276"/>
                <w:tab w:val="left" w:pos="1418"/>
              </w:tabs>
              <w:ind w:firstLine="195"/>
              <w:contextualSpacing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Ц</w:t>
            </w:r>
            <w:r>
              <w:rPr>
                <w:rFonts w:eastAsia="Calibri"/>
                <w:szCs w:val="24"/>
                <w:vertAlign w:val="subscript"/>
              </w:rPr>
              <w:t xml:space="preserve">min</w:t>
            </w:r>
            <w:r>
              <w:rPr>
                <w:rFonts w:eastAsia="Calibri"/>
                <w:szCs w:val="24"/>
              </w:rPr>
              <w:t xml:space="preserve"> - минимальное предложение из предложений по критерию оценки, сделанных участниками закупки.</w:t>
            </w:r>
          </w:p>
        </w:tc>
      </w:tr>
    </w:tbl>
    <w:p>
      <w:pPr>
        <w:pStyle w:val="regl12"/>
        <w:ind w:left="709"/>
        <w:rPr>
          <w:sz w:val="24"/>
        </w:rPr>
      </w:pPr>
    </w:p>
    <w:p>
      <w:pPr>
        <w:pStyle w:val="regl12"/>
        <w:numPr>
          <w:numId w:val="1"/>
          <w:ilvl w:val="1"/>
        </w:numPr>
        <w:ind w:left="426" w:hanging="284"/>
        <w:rPr>
          <w:b/>
          <w:sz w:val="20"/>
        </w:rPr>
      </w:pPr>
      <w:r>
        <w:rPr>
          <w:b/>
          <w:sz w:val="20"/>
        </w:rPr>
        <w:t xml:space="preserve">Оценка нестоимостн</w:t>
      </w:r>
      <w:r>
        <w:rPr>
          <w:b/>
          <w:sz w:val="20"/>
        </w:rPr>
        <w:t xml:space="preserve">ых</w:t>
      </w:r>
      <w:r>
        <w:rPr>
          <w:b/>
          <w:sz w:val="20"/>
        </w:rPr>
        <w:t xml:space="preserve"> </w:t>
      </w:r>
      <w:r>
        <w:rPr>
          <w:b/>
          <w:sz w:val="20"/>
        </w:rPr>
        <w:t xml:space="preserve">под</w:t>
      </w:r>
      <w:r>
        <w:rPr>
          <w:b/>
          <w:sz w:val="20"/>
        </w:rPr>
        <w:t xml:space="preserve">критери</w:t>
      </w:r>
      <w:r>
        <w:rPr>
          <w:b/>
          <w:sz w:val="20"/>
        </w:rPr>
        <w:t xml:space="preserve">ев</w:t>
      </w:r>
      <w:r>
        <w:rPr>
          <w:b/>
          <w:sz w:val="20"/>
        </w:rPr>
        <w:t xml:space="preserve">:</w:t>
      </w:r>
    </w:p>
    <w:p>
      <w:pPr>
        <w:pStyle w:val="regl12"/>
        <w:ind w:left="567"/>
        <w:rPr>
          <w:b/>
          <w:sz w:val="20"/>
        </w:rPr>
      </w:pPr>
      <w:r>
        <w:rPr>
          <w:sz w:val="20"/>
        </w:rPr>
        <w:t xml:space="preserve">Таблица 3.</w:t>
      </w:r>
    </w:p>
    <w:p>
      <w:pPr>
        <w:pStyle w:val="regl12"/>
        <w:ind w:left="426"/>
        <w:rPr>
          <w:b/>
          <w:sz w:val="20"/>
        </w:rPr>
      </w:pPr>
    </w:p>
    <w:tbl>
      <w:tblPr>
        <w:tblW w:w="10172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3969"/>
        <w:gridCol w:w="2126"/>
        <w:gridCol w:w="816"/>
      </w:tblGrid>
      <w:tr>
        <w:trPr>
          <w:trHeight w:val="20"/>
        </w:trPr>
        <w:tc>
          <w:tcPr>
            <w:tcW w:w="568" w:type="dxa"/>
            <w:shd w:val="clear" w:color="auto" w:fill="auto"/>
            <w:hideMark/>
          </w:tcPr>
          <w:p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№</w:t>
            </w:r>
            <w:r>
              <w:rPr>
                <w:b/>
                <w:bCs/>
                <w:szCs w:val="22"/>
              </w:rPr>
              <w:br/>
              <w:t xml:space="preserve">п/</w:t>
            </w:r>
            <w:r>
              <w:rPr>
                <w:b/>
                <w:bCs/>
                <w:szCs w:val="22"/>
              </w:rPr>
              <w:t xml:space="preserve">п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Предмет оценки</w:t>
            </w:r>
          </w:p>
        </w:tc>
        <w:tc>
          <w:tcPr>
            <w:tcW w:w="3969" w:type="dxa"/>
            <w:vAlign w:val="center"/>
          </w:tcPr>
          <w:p>
            <w:pPr>
              <w:pStyle w:val="Default"/>
              <w:jc w:val="center"/>
              <w:rPr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 xml:space="preserve">Порядок оценки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Принцип учета </w:t>
            </w:r>
            <w:r>
              <w:rPr>
                <w:b/>
                <w:bCs/>
                <w:szCs w:val="22"/>
              </w:rPr>
              <w:t xml:space="preserve">под</w:t>
            </w:r>
            <w:r>
              <w:rPr>
                <w:b/>
                <w:bCs/>
                <w:szCs w:val="22"/>
              </w:rPr>
              <w:t xml:space="preserve">критерия</w:t>
            </w:r>
          </w:p>
        </w:tc>
        <w:tc>
          <w:tcPr>
            <w:tcW w:w="816" w:type="dxa"/>
            <w:shd w:val="clear" w:color="auto" w:fill="auto"/>
            <w:hideMark/>
          </w:tcPr>
          <w:p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Значение показателя (баллы)</w:t>
            </w:r>
          </w:p>
        </w:tc>
      </w:tr>
      <w:tr>
        <w:trPr>
          <w:trHeight w:val="2259"/>
        </w:trPr>
        <w:tc>
          <w:tcPr>
            <w:tcW w:w="568" w:type="dxa"/>
            <w:shd w:val="clear" w:color="auto" w:fill="auto"/>
            <w:vAlign w:val="center"/>
            <w:hideMark/>
          </w:tcPr>
          <w:p>
            <w:pPr>
              <w:jc w:val="center"/>
              <w:rPr>
                <w:b/>
                <w:bCs/>
              </w:rPr>
            </w:pPr>
            <w:r>
              <w:t xml:space="preserve">1</w:t>
            </w:r>
          </w:p>
        </w:tc>
        <w:tc>
          <w:tcPr>
            <w:tcW w:w="2693" w:type="dxa"/>
            <w:shd w:val="clear" w:color="auto" w:fill="auto"/>
          </w:tcPr>
          <w:p>
            <w:pPr>
              <w:pStyle w:val="Default"/>
              <w:ind w:left="-98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Опыт* исполнения обязательств оценивается количеством предоставленных Участником закупки договоров, за последние 3 года, предшествующих дате окончания срока подачи заявок на участие в закупке в соответствии с формой, приведенной в Документации «Справка об выполнении аналогичных договоров». </w:t>
            </w:r>
          </w:p>
          <w:p>
            <w:pPr>
              <w:pStyle w:val="Default"/>
              <w:ind w:left="-98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Представленные договоры оцениваются при соблюдении следующих параметров: </w:t>
            </w:r>
          </w:p>
          <w:p>
            <w:pPr>
              <w:pStyle w:val="Default"/>
              <w:ind w:left="-98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- Соответствие тематики предмету закупки, в соответствии с требованиями об опыте Участника, указанными в Документации; </w:t>
            </w:r>
          </w:p>
          <w:p>
            <w:pPr>
              <w:ind w:left="-98"/>
              <w:jc w:val="both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- Наличие копии </w:t>
            </w:r>
            <w:r>
              <w:rPr>
                <w:szCs w:val="22"/>
              </w:rPr>
              <w:t xml:space="preserve">(позволяющ</w:t>
            </w:r>
            <w:r>
              <w:rPr>
                <w:szCs w:val="22"/>
              </w:rPr>
              <w:t xml:space="preserve">ей </w:t>
            </w:r>
            <w:r>
              <w:rPr>
                <w:szCs w:val="22"/>
              </w:rPr>
              <w:t xml:space="preserve">идентифицировать: предмет поставки, срок исполнения Договора, объем/стоимость поставки) </w:t>
            </w:r>
            <w:r>
              <w:rPr>
                <w:b/>
                <w:bCs/>
                <w:szCs w:val="22"/>
              </w:rPr>
              <w:t xml:space="preserve">выполненного </w:t>
            </w:r>
            <w:r>
              <w:rPr>
                <w:szCs w:val="22"/>
              </w:rPr>
              <w:t xml:space="preserve">договора (в соответствии со Справкой об опыте выполнения аналогичных поставок) и документов, подтверждающих полное исполнение такого договора (ТОРГ-12 (либо универсального передаточного документа (УПД) в соответствии с формой, рекомендованной Письмом ФНС России от 21.10.2013 № ММВ-20-3/96@). </w:t>
            </w:r>
          </w:p>
        </w:tc>
        <w:tc>
          <w:tcPr>
            <w:tcW w:w="3969" w:type="dxa"/>
          </w:tcPr>
          <w:p>
            <w:pPr>
              <w:pStyle w:val="Default"/>
              <w:ind w:left="-108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Предоставленные Участниками в составе заявки копии договоров, подтверждающие опыт выполнения аналогичных поставок, рассматриваются при условии: </w:t>
            </w:r>
          </w:p>
          <w:p>
            <w:pPr>
              <w:pStyle w:val="Default"/>
              <w:ind w:left="-108"/>
              <w:jc w:val="both"/>
              <w:rPr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 xml:space="preserve">- </w:t>
            </w:r>
            <w:r>
              <w:rPr>
                <w:b/>
                <w:sz w:val="20"/>
                <w:szCs w:val="22"/>
              </w:rPr>
              <w:t xml:space="preserve">соответс</w:t>
            </w:r>
            <w:r>
              <w:rPr>
                <w:b/>
                <w:sz w:val="20"/>
                <w:szCs w:val="22"/>
              </w:rPr>
              <w:t xml:space="preserve">твие тематики предмету закупки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i/>
                <w:sz w:val="20"/>
                <w:szCs w:val="22"/>
              </w:rPr>
              <w:t xml:space="preserve">(</w:t>
            </w:r>
            <w:r>
              <w:rPr>
                <w:i/>
                <w:sz w:val="20"/>
                <w:szCs w:val="22"/>
              </w:rPr>
              <w:t xml:space="preserve">в</w:t>
            </w:r>
            <w:r>
              <w:rPr>
                <w:i/>
                <w:sz w:val="20"/>
                <w:szCs w:val="22"/>
              </w:rPr>
              <w:t xml:space="preserve"> случае предоставления Договоров на смешанную номенклатуру, при наличии хотя бы одной позиции отвечающей требованиям по предмету закупки такой договор засчитывается, при условии документального подтверждения полного исполнения такого договора и соблюдении остальных условий методики</w:t>
            </w:r>
            <w:r>
              <w:rPr>
                <w:i/>
                <w:sz w:val="20"/>
                <w:szCs w:val="22"/>
              </w:rPr>
              <w:t xml:space="preserve">)</w:t>
            </w:r>
            <w:r>
              <w:rPr>
                <w:i/>
                <w:sz w:val="20"/>
                <w:szCs w:val="22"/>
              </w:rPr>
              <w:t xml:space="preserve">;</w:t>
            </w:r>
            <w:r>
              <w:rPr>
                <w:sz w:val="20"/>
                <w:szCs w:val="22"/>
              </w:rPr>
              <w:t xml:space="preserve"> </w:t>
            </w:r>
          </w:p>
          <w:p>
            <w:pPr>
              <w:pStyle w:val="Default"/>
              <w:ind w:left="-108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- указания сведений о данных договорах в Справке об опыте выполнения аналогичных поставок, по форме, установле</w:t>
            </w:r>
            <w:r>
              <w:rPr>
                <w:sz w:val="20"/>
                <w:szCs w:val="22"/>
              </w:rPr>
              <w:t xml:space="preserve">нной в закупочной Документации </w:t>
            </w:r>
            <w:r>
              <w:rPr>
                <w:i/>
                <w:sz w:val="20"/>
                <w:szCs w:val="22"/>
              </w:rPr>
              <w:t xml:space="preserve">(в</w:t>
            </w:r>
            <w:r>
              <w:rPr>
                <w:i/>
                <w:sz w:val="20"/>
                <w:szCs w:val="22"/>
              </w:rPr>
              <w:t xml:space="preserve"> Справке об опыте выполнения аналогичных поставок должна быть указана стоимость Договора</w:t>
            </w:r>
            <w:r>
              <w:rPr>
                <w:i/>
                <w:sz w:val="20"/>
                <w:szCs w:val="22"/>
              </w:rPr>
              <w:t xml:space="preserve">)</w:t>
            </w:r>
            <w:r>
              <w:rPr>
                <w:i/>
                <w:sz w:val="20"/>
                <w:szCs w:val="22"/>
              </w:rPr>
              <w:t xml:space="preserve">; </w:t>
            </w:r>
          </w:p>
          <w:p>
            <w:pPr>
              <w:ind w:left="-97" w:right="-83"/>
              <w:jc w:val="both"/>
              <w:rPr>
                <w:i/>
                <w:szCs w:val="22"/>
              </w:rPr>
            </w:pPr>
            <w:r>
              <w:rPr>
                <w:b/>
                <w:szCs w:val="22"/>
              </w:rPr>
              <w:t xml:space="preserve">- </w:t>
            </w:r>
            <w:r>
              <w:rPr>
                <w:b/>
                <w:szCs w:val="22"/>
              </w:rPr>
              <w:t xml:space="preserve">предоставления закрывающих документов на всю </w:t>
            </w:r>
            <w:r>
              <w:rPr>
                <w:b/>
                <w:szCs w:val="22"/>
              </w:rPr>
              <w:t xml:space="preserve">стоимость, указанную в Договоре</w:t>
            </w:r>
            <w:r>
              <w:rPr>
                <w:szCs w:val="22"/>
              </w:rPr>
              <w:t xml:space="preserve"> </w:t>
            </w:r>
            <w:r>
              <w:rPr>
                <w:i/>
                <w:szCs w:val="22"/>
              </w:rPr>
              <w:t xml:space="preserve">(в</w:t>
            </w:r>
            <w:r>
              <w:rPr>
                <w:i/>
                <w:szCs w:val="22"/>
              </w:rPr>
              <w:t xml:space="preserve"> случае несоответствия суммы </w:t>
            </w:r>
            <w:r>
              <w:rPr>
                <w:i/>
                <w:szCs w:val="22"/>
              </w:rPr>
              <w:t xml:space="preserve">договора, указанного в Справке об опыте выполнения аналогичных поставок, сумме исполнения договора (ТОРГ-12/УПД) наличие в договоре</w:t>
            </w:r>
            <w:r>
              <w:rPr>
                <w:i/>
                <w:szCs w:val="22"/>
              </w:rPr>
              <w:t xml:space="preserve"> </w:t>
            </w:r>
            <w:r>
              <w:rPr>
                <w:i/>
                <w:szCs w:val="22"/>
              </w:rPr>
              <w:t xml:space="preserve">условий о толерансе и/или условий о возможности поставки большего объема продукции, предоставления копий следующих документов: дополнительных соглашений, актов-сверок, подписанных с обеих сторон подтверждающих полное исполнение Договора и изменение его стоимости</w:t>
            </w:r>
            <w:r>
              <w:rPr>
                <w:i/>
                <w:szCs w:val="22"/>
              </w:rPr>
              <w:t xml:space="preserve">)</w:t>
            </w:r>
            <w:r>
              <w:rPr>
                <w:i/>
                <w:szCs w:val="22"/>
              </w:rPr>
              <w:t xml:space="preserve">; </w:t>
            </w:r>
          </w:p>
          <w:p>
            <w:pPr>
              <w:ind w:left="-97" w:right="-83"/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 xml:space="preserve">-</w:t>
            </w:r>
            <w:r>
              <w:rPr>
                <w:szCs w:val="22"/>
              </w:rPr>
              <w:t xml:space="preserve"> </w:t>
            </w:r>
            <w:r>
              <w:rPr>
                <w:b/>
                <w:szCs w:val="22"/>
              </w:rPr>
              <w:t xml:space="preserve">при предоставлении рамочных договоров</w:t>
            </w:r>
            <w:r>
              <w:rPr>
                <w:szCs w:val="22"/>
              </w:rPr>
              <w:t xml:space="preserve"> (договор без указания стоимости или прейскурантный договор), в том числе действующих в текущем периоде, с указанием стоимости в приложении к договору (Спецификации/Заявке), выполнение должно быть документально подтверждено на полную стоимость, указанную в соответствующем приложении к договору (Спецификации/Заявке); </w:t>
            </w:r>
          </w:p>
          <w:p>
            <w:pPr>
              <w:pStyle w:val="Default"/>
              <w:ind w:left="-108"/>
              <w:jc w:val="both"/>
              <w:rPr>
                <w:sz w:val="20"/>
                <w:szCs w:val="22"/>
              </w:rPr>
            </w:pPr>
          </w:p>
          <w:p>
            <w:pPr>
              <w:pStyle w:val="Default"/>
              <w:ind w:left="-108"/>
              <w:jc w:val="both"/>
              <w:rPr>
                <w:i/>
                <w:sz w:val="20"/>
                <w:szCs w:val="22"/>
              </w:rPr>
            </w:pPr>
            <w:r>
              <w:rPr>
                <w:i/>
                <w:sz w:val="20"/>
                <w:szCs w:val="22"/>
              </w:rPr>
              <w:t xml:space="preserve">(</w:t>
            </w:r>
            <w:r>
              <w:rPr>
                <w:i/>
                <w:sz w:val="20"/>
                <w:szCs w:val="22"/>
              </w:rPr>
              <w:t xml:space="preserve">п</w:t>
            </w:r>
            <w:r>
              <w:rPr>
                <w:i/>
                <w:sz w:val="20"/>
                <w:szCs w:val="22"/>
              </w:rPr>
              <w:t xml:space="preserve">редоставленные документы, </w:t>
            </w:r>
            <w:r>
              <w:rPr>
                <w:i/>
                <w:sz w:val="20"/>
                <w:szCs w:val="22"/>
              </w:rPr>
              <w:t xml:space="preserve">подтверждающие исполнение Договоров должны</w:t>
            </w:r>
            <w:r>
              <w:rPr>
                <w:i/>
                <w:sz w:val="20"/>
                <w:szCs w:val="22"/>
              </w:rPr>
              <w:t xml:space="preserve"> быть подписаны с обеих сторон)</w:t>
            </w:r>
          </w:p>
          <w:p>
            <w:pPr>
              <w:ind w:left="-97" w:right="-83"/>
              <w:jc w:val="both"/>
              <w:rPr>
                <w:szCs w:val="22"/>
              </w:rPr>
            </w:pPr>
          </w:p>
          <w:p>
            <w:pPr>
              <w:ind w:left="-97" w:right="-83"/>
              <w:jc w:val="both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(</w:t>
            </w:r>
            <w:r>
              <w:rPr>
                <w:i/>
                <w:szCs w:val="22"/>
              </w:rPr>
              <w:t xml:space="preserve">при невозможности определить срок поставки, в случае если, срок действия договора не истек</w:t>
            </w:r>
            <w:r>
              <w:rPr>
                <w:i/>
                <w:szCs w:val="22"/>
              </w:rPr>
              <w:t xml:space="preserve"> </w:t>
            </w:r>
            <w:r>
              <w:rPr>
                <w:i/>
                <w:szCs w:val="22"/>
              </w:rPr>
              <w:t xml:space="preserve">–</w:t>
            </w:r>
            <w:r>
              <w:rPr>
                <w:i/>
                <w:szCs w:val="22"/>
              </w:rPr>
              <w:t xml:space="preserve"> такой договор не учитывается</w:t>
            </w:r>
            <w:r>
              <w:rPr>
                <w:i/>
                <w:szCs w:val="22"/>
              </w:rPr>
              <w:t xml:space="preserve">)</w:t>
            </w:r>
          </w:p>
        </w:tc>
        <w:tc>
          <w:tcPr>
            <w:tcW w:w="2126" w:type="dxa"/>
          </w:tcPr>
          <w:p>
            <w:pPr>
              <w:ind w:left="-97" w:right="-83"/>
              <w:rPr>
                <w:szCs w:val="22"/>
              </w:rPr>
            </w:pPr>
            <w:r>
              <w:rPr>
                <w:szCs w:val="22"/>
              </w:rPr>
              <w:t xml:space="preserve">За каждый договор </w:t>
            </w:r>
            <w:r>
              <w:rPr>
                <w:szCs w:val="22"/>
              </w:rPr>
              <w:t xml:space="preserve">–</w:t>
            </w:r>
            <w:r>
              <w:rPr>
                <w:szCs w:val="22"/>
              </w:rPr>
              <w:t xml:space="preserve"> 20 баллов.</w:t>
            </w:r>
            <w:r>
              <w:rPr>
                <w:szCs w:val="22"/>
              </w:rPr>
              <w:t xml:space="preserve"> </w:t>
            </w:r>
          </w:p>
          <w:p>
            <w:pPr>
              <w:ind w:left="-97" w:right="-83"/>
              <w:rPr>
                <w:szCs w:val="22"/>
              </w:rPr>
            </w:pPr>
            <w:r>
              <w:rPr>
                <w:szCs w:val="22"/>
              </w:rPr>
              <w:t xml:space="preserve">Максимальный балл </w:t>
            </w:r>
            <w:r>
              <w:rPr>
                <w:szCs w:val="22"/>
              </w:rPr>
              <w:t xml:space="preserve">–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80</w:t>
            </w:r>
            <w:r>
              <w:rPr>
                <w:szCs w:val="22"/>
              </w:rPr>
              <w:t xml:space="preserve">. </w:t>
            </w:r>
          </w:p>
          <w:p>
            <w:pPr>
              <w:ind w:left="-97" w:right="-8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816" w:type="dxa"/>
            <w:shd w:val="clear" w:color="auto" w:fill="auto"/>
            <w:vAlign w:val="center"/>
            <w:hideMark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>
        <w:trPr>
          <w:trHeight w:val="699"/>
        </w:trPr>
        <w:tc>
          <w:tcPr>
            <w:tcW w:w="568" w:type="dxa"/>
            <w:shd w:val="clear" w:color="auto" w:fill="auto"/>
            <w:vAlign w:val="center"/>
          </w:tcPr>
          <w:p>
            <w:pPr>
              <w:jc w:val="center"/>
            </w:pPr>
            <w:r>
              <w:t xml:space="preserve">2</w:t>
            </w:r>
          </w:p>
        </w:tc>
        <w:tc>
          <w:tcPr>
            <w:tcW w:w="2693" w:type="dxa"/>
            <w:shd w:val="clear" w:color="auto" w:fill="auto"/>
          </w:tcPr>
          <w:p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Статус Участника </w:t>
            </w:r>
          </w:p>
          <w:p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(Изготовитель/вен</w:t>
            </w:r>
            <w:r>
              <w:rPr>
                <w:szCs w:val="24"/>
              </w:rPr>
              <w:t xml:space="preserve">дор/дистрибьютер/дилер/посредник</w:t>
            </w:r>
            <w:r>
              <w:rPr>
                <w:szCs w:val="24"/>
              </w:rPr>
              <w:t xml:space="preserve">)</w:t>
            </w:r>
          </w:p>
        </w:tc>
        <w:tc>
          <w:tcPr>
            <w:tcW w:w="3969" w:type="dxa"/>
          </w:tcPr>
          <w:p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 качестве документа, подтверждающего статус участника должны выступать:</w:t>
            </w:r>
          </w:p>
          <w:p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 форме Документации Ценовое предложение Участник указывает свой статус, действующий на момент окончания срока подачи заявок;</w:t>
            </w:r>
          </w:p>
          <w:p>
            <w:pPr>
              <w:ind w:left="-108"/>
              <w:jc w:val="both"/>
              <w:rPr>
                <w:szCs w:val="24"/>
              </w:rPr>
            </w:pPr>
            <w:r>
              <w:t xml:space="preserve">- в качестве документа, подтверждающего </w:t>
            </w:r>
            <w:r>
              <w:rPr>
                <w:b/>
              </w:rPr>
              <w:t xml:space="preserve">статус Изготовителя</w:t>
            </w:r>
            <w:r>
              <w:t xml:space="preserve"> </w:t>
            </w:r>
            <w:r>
              <w:rPr>
                <w:b/>
                <w:szCs w:val="24"/>
              </w:rPr>
              <w:t xml:space="preserve">60</w:t>
            </w:r>
            <w:r>
              <w:rPr>
                <w:b/>
                <w:szCs w:val="24"/>
              </w:rPr>
              <w:t xml:space="preserve">% МТР</w:t>
            </w:r>
            <w:r>
              <w:t xml:space="preserve">, являющегося предметом закупки, должны выступать: сертификаты соответствия/свидетельства/сертификаты/паспорта качества, на ранее выпущенную продукцию;</w:t>
            </w:r>
          </w:p>
          <w:p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</w:t>
            </w:r>
            <w:r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в качестве Документа, подтверждающего </w:t>
            </w:r>
            <w:r>
              <w:rPr>
                <w:b/>
                <w:szCs w:val="24"/>
              </w:rPr>
              <w:t xml:space="preserve">статус</w:t>
            </w:r>
            <w:r>
              <w:t xml:space="preserve"> </w:t>
            </w:r>
            <w:r>
              <w:rPr>
                <w:b/>
                <w:szCs w:val="24"/>
              </w:rPr>
              <w:t xml:space="preserve">официально</w:t>
            </w:r>
            <w:r>
              <w:rPr>
                <w:b/>
                <w:szCs w:val="24"/>
              </w:rPr>
              <w:t xml:space="preserve">го </w:t>
            </w:r>
            <w:r>
              <w:rPr>
                <w:b/>
                <w:szCs w:val="24"/>
              </w:rPr>
              <w:t xml:space="preserve">дистрибьютора/дилера/вендора</w:t>
            </w:r>
            <w:r>
              <w:rPr>
                <w:b/>
                <w:szCs w:val="24"/>
              </w:rPr>
              <w:t xml:space="preserve">/посредника </w:t>
            </w:r>
            <w:r>
              <w:rPr>
                <w:b/>
                <w:szCs w:val="24"/>
              </w:rPr>
              <w:t xml:space="preserve">60</w:t>
            </w:r>
            <w:r>
              <w:rPr>
                <w:b/>
                <w:szCs w:val="24"/>
              </w:rPr>
              <w:t xml:space="preserve">% МТР, </w:t>
            </w:r>
            <w:r>
              <w:rPr>
                <w:szCs w:val="24"/>
              </w:rPr>
              <w:t xml:space="preserve">являющегося предметом закуп</w:t>
            </w:r>
            <w:r>
              <w:rPr>
                <w:szCs w:val="24"/>
              </w:rPr>
              <w:t xml:space="preserve">ки могут являться: сертификаты, </w:t>
            </w:r>
            <w:r>
              <w:rPr>
                <w:szCs w:val="24"/>
              </w:rPr>
              <w:t xml:space="preserve">свидетельства, подтверждающие статус участника</w:t>
            </w:r>
            <w:r>
              <w:rPr>
                <w:szCs w:val="24"/>
              </w:rPr>
              <w:t xml:space="preserve">;</w:t>
            </w:r>
          </w:p>
        </w:tc>
        <w:tc>
          <w:tcPr>
            <w:tcW w:w="2126" w:type="dxa"/>
          </w:tcPr>
          <w:p>
            <w:pPr>
              <w:ind w:left="-108"/>
              <w:rPr>
                <w:szCs w:val="22"/>
              </w:rPr>
            </w:pPr>
            <w:r>
              <w:rPr>
                <w:b/>
                <w:szCs w:val="22"/>
              </w:rPr>
              <w:t xml:space="preserve">20 баллов</w:t>
            </w:r>
            <w:r>
              <w:rPr>
                <w:szCs w:val="22"/>
              </w:rPr>
              <w:t xml:space="preserve">, при наличии статуса Изготовителя </w:t>
            </w:r>
            <w:r>
              <w:rPr>
                <w:b/>
                <w:szCs w:val="22"/>
              </w:rPr>
              <w:t xml:space="preserve">60</w:t>
            </w:r>
            <w:r>
              <w:rPr>
                <w:b/>
                <w:szCs w:val="22"/>
              </w:rPr>
              <w:t xml:space="preserve">% МТР</w:t>
            </w:r>
            <w:r>
              <w:rPr>
                <w:szCs w:val="22"/>
              </w:rPr>
              <w:t xml:space="preserve">, являющегося предметом закупки</w:t>
            </w:r>
          </w:p>
          <w:p>
            <w:pPr>
              <w:rPr>
                <w:szCs w:val="22"/>
              </w:rPr>
            </w:pPr>
          </w:p>
          <w:p>
            <w:pPr>
              <w:ind w:left="-108"/>
              <w:rPr>
                <w:szCs w:val="22"/>
              </w:rPr>
            </w:pPr>
            <w:r>
              <w:rPr>
                <w:b/>
                <w:szCs w:val="22"/>
              </w:rPr>
              <w:t xml:space="preserve">1</w:t>
            </w:r>
            <w:r>
              <w:rPr>
                <w:b/>
                <w:szCs w:val="22"/>
              </w:rPr>
              <w:t xml:space="preserve">0</w:t>
            </w:r>
            <w:r>
              <w:rPr>
                <w:b/>
                <w:szCs w:val="22"/>
              </w:rPr>
              <w:t xml:space="preserve"> баллов</w:t>
            </w:r>
            <w:r>
              <w:rPr>
                <w:b/>
                <w:szCs w:val="22"/>
              </w:rPr>
              <w:t xml:space="preserve">,</w:t>
            </w:r>
            <w:r>
              <w:rPr>
                <w:szCs w:val="22"/>
              </w:rPr>
              <w:t xml:space="preserve"> при наличии статуса </w:t>
            </w:r>
            <w:r>
              <w:rPr>
                <w:szCs w:val="22"/>
              </w:rPr>
              <w:t xml:space="preserve">официального дистрибьютора/дилер</w:t>
            </w:r>
            <w:r>
              <w:rPr>
                <w:szCs w:val="22"/>
              </w:rPr>
              <w:t xml:space="preserve">/</w:t>
            </w:r>
          </w:p>
          <w:p>
            <w:pPr>
              <w:ind w:left="-108"/>
              <w:rPr>
                <w:szCs w:val="22"/>
              </w:rPr>
            </w:pPr>
            <w:r>
              <w:rPr>
                <w:szCs w:val="22"/>
              </w:rPr>
              <w:t xml:space="preserve">вендора</w:t>
            </w:r>
            <w:r>
              <w:rPr>
                <w:szCs w:val="22"/>
              </w:rPr>
              <w:t xml:space="preserve">/</w:t>
            </w:r>
            <w:r>
              <w:rPr>
                <w:szCs w:val="22"/>
              </w:rPr>
              <w:t xml:space="preserve">посредника </w:t>
            </w:r>
            <w:r>
              <w:rPr>
                <w:b/>
                <w:szCs w:val="22"/>
              </w:rPr>
              <w:t xml:space="preserve">60</w:t>
            </w:r>
            <w:r>
              <w:rPr>
                <w:b/>
                <w:szCs w:val="22"/>
              </w:rPr>
              <w:t xml:space="preserve">% МТР</w:t>
            </w:r>
            <w:r>
              <w:rPr>
                <w:szCs w:val="22"/>
              </w:rPr>
              <w:t xml:space="preserve">, являющегося предметом закупки</w:t>
            </w:r>
          </w:p>
          <w:p>
            <w:pPr>
              <w:rPr>
                <w:szCs w:val="22"/>
              </w:rPr>
            </w:pPr>
          </w:p>
          <w:p>
            <w:pPr>
              <w:ind w:left="-97" w:right="-83"/>
              <w:rPr>
                <w:szCs w:val="22"/>
              </w:rPr>
            </w:pPr>
            <w:r>
              <w:rPr>
                <w:b/>
                <w:szCs w:val="22"/>
              </w:rPr>
              <w:t xml:space="preserve">0 баллов,</w:t>
            </w:r>
            <w:r>
              <w:rPr>
                <w:szCs w:val="22"/>
              </w:rPr>
              <w:t xml:space="preserve"> при отсутствии одного из указанных статусов.</w:t>
            </w:r>
            <w:r>
              <w:rPr>
                <w:szCs w:val="22"/>
              </w:rPr>
              <w:t xml:space="preserve">**</w:t>
            </w:r>
          </w:p>
          <w:p>
            <w:pPr>
              <w:ind w:left="-97" w:right="-83"/>
              <w:rPr>
                <w:sz w:val="22"/>
                <w:szCs w:val="22"/>
              </w:rPr>
            </w:pPr>
          </w:p>
          <w:p>
            <w:pPr>
              <w:ind w:left="-97" w:right="-83"/>
              <w:rPr>
                <w:sz w:val="22"/>
                <w:szCs w:val="22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>
        <w:trPr>
          <w:trHeight w:val="528"/>
        </w:trPr>
        <w:tc>
          <w:tcPr>
            <w:tcW w:w="568" w:type="dxa"/>
            <w:shd w:val="clear" w:color="auto" w:fill="auto"/>
            <w:vAlign w:val="center"/>
          </w:tcPr>
          <w:p>
            <w:pPr>
              <w:jc w:val="center"/>
            </w:pPr>
          </w:p>
        </w:tc>
        <w:tc>
          <w:tcPr>
            <w:tcW w:w="2693" w:type="dxa"/>
            <w:shd w:val="clear" w:color="auto" w:fill="auto"/>
          </w:tcPr>
          <w:p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Общая оценка по группе </w:t>
            </w:r>
            <w:r>
              <w:rPr>
                <w:b/>
                <w:szCs w:val="24"/>
              </w:rPr>
              <w:t xml:space="preserve">под</w:t>
            </w:r>
            <w:r>
              <w:rPr>
                <w:b/>
                <w:szCs w:val="24"/>
              </w:rPr>
              <w:t xml:space="preserve">критериев:</w:t>
            </w:r>
          </w:p>
        </w:tc>
        <w:tc>
          <w:tcPr>
            <w:tcW w:w="3969" w:type="dxa"/>
          </w:tcPr>
          <w:p>
            <w:pPr>
              <w:ind w:left="-108"/>
              <w:jc w:val="both"/>
              <w:rPr>
                <w:szCs w:val="24"/>
              </w:rPr>
            </w:pPr>
          </w:p>
        </w:tc>
        <w:tc>
          <w:tcPr>
            <w:tcW w:w="2126" w:type="dxa"/>
          </w:tcPr>
          <w:p>
            <w:pPr>
              <w:ind w:left="-108"/>
              <w:jc w:val="center"/>
              <w:rPr>
                <w:b/>
                <w:szCs w:val="22"/>
              </w:rPr>
            </w:pPr>
            <w:bookmarkStart w:id="0" w:name="_GoBack"/>
            <w:r>
              <w:rPr>
                <w:b/>
                <w:szCs w:val="22"/>
              </w:rPr>
              <w:t xml:space="preserve">100</w:t>
            </w:r>
            <w:bookmarkEnd w:id="0"/>
          </w:p>
        </w:tc>
        <w:tc>
          <w:tcPr>
            <w:tcW w:w="816" w:type="dxa"/>
            <w:shd w:val="clear" w:color="auto" w:fill="auto"/>
            <w:vAlign w:val="center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>
      <w:pPr>
        <w:pStyle w:val="regl12"/>
        <w:ind w:firstLine="709"/>
        <w:rPr>
          <w:sz w:val="20"/>
        </w:rPr>
      </w:pPr>
      <w:r>
        <w:rPr>
          <w:sz w:val="20"/>
        </w:rPr>
        <w:t xml:space="preserve">Оценки выставляются по каждому критерию</w:t>
      </w:r>
      <w:r>
        <w:rPr>
          <w:sz w:val="20"/>
        </w:rPr>
        <w:t xml:space="preserve">/подкритерию</w:t>
      </w:r>
      <w:r>
        <w:rPr>
          <w:sz w:val="20"/>
        </w:rPr>
        <w:t xml:space="preserve">. Лучшей Заявкой признается предложение Участника, набравшего максимальное количество баллов.</w:t>
      </w:r>
    </w:p>
    <w:p>
      <w:pPr>
        <w:pStyle w:val="regl12"/>
        <w:ind w:firstLine="709"/>
        <w:rPr>
          <w:snapToGrid w:val="0"/>
          <w:sz w:val="20"/>
        </w:rPr>
      </w:pPr>
      <w:r>
        <w:rPr>
          <w:snapToGrid w:val="0"/>
          <w:sz w:val="20"/>
        </w:rPr>
        <w:t xml:space="preserve">* Информация об опыте, предоставленная Участниками с нарушением требований к её представлению, указанных выше, не оценивается и приравнивается к её отсутствию. Представленные Участниками сведения о договорах не аналогичных по характеру не рассматриваются.</w:t>
      </w:r>
    </w:p>
    <w:p>
      <w:pPr>
        <w:pStyle w:val="regl12"/>
        <w:ind w:firstLine="709"/>
        <w:rPr>
          <w:b/>
          <w:snapToGrid w:val="0"/>
          <w:color w:val="ff0000"/>
          <w:sz w:val="20"/>
        </w:rPr>
      </w:pPr>
    </w:p>
    <w:sectPr>
      <w:pgSz w:w="11906" w:h="16838"/>
      <w:pgMar w:top="568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ambria">
    <w:panose1 w:val="02040503050406030204"/>
  </w:font>
  <w:font w:name="Segoe UI">
    <w:panose1 w:val="020B0502040504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multiLevelType w:val="hybridMultilevel"/>
    <w:lvl w:ilvl="0" w:tplc="BDF88E9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BFFEF5EE">
      <w:start w:val="1"/>
      <w:numFmt w:val="decimal"/>
      <w:lvlText w:val="%2."/>
      <w:lvlJc w:val="left"/>
      <w:pPr>
        <w:ind w:left="1072" w:hanging="930"/>
      </w:pPr>
      <w:rPr>
        <w:rFonts w:hint="default"/>
      </w:rPr>
    </w:lvl>
    <w:lvl w:ilvl="2" w:tentative="1" w:tplc="0419001B">
      <w:start w:val="1"/>
      <w:numFmt w:val="lowerRoman"/>
      <w:lvlText w:val="%3."/>
      <w:lvlJc w:val="right"/>
      <w:pPr>
        <w:ind w:left="2160" w:hanging="180"/>
      </w:pPr>
    </w:lvl>
    <w:lvl w:ilvl="3" w:tentative="1" w:tplc="0419000F">
      <w:start w:val="1"/>
      <w:numFmt w:val="decimal"/>
      <w:lvlText w:val="%4."/>
      <w:lvlJc w:val="left"/>
      <w:pPr>
        <w:ind w:left="2880" w:hanging="360"/>
      </w:pPr>
    </w:lvl>
    <w:lvl w:ilvl="4" w:tentative="1" w:tplc="04190019">
      <w:start w:val="1"/>
      <w:numFmt w:val="lowerLetter"/>
      <w:lvlText w:val="%5."/>
      <w:lvlJc w:val="left"/>
      <w:pPr>
        <w:ind w:left="3600" w:hanging="360"/>
      </w:pPr>
    </w:lvl>
    <w:lvl w:ilvl="5" w:tentative="1" w:tplc="0419001B">
      <w:start w:val="1"/>
      <w:numFmt w:val="lowerRoman"/>
      <w:lvlText w:val="%6."/>
      <w:lvlJc w:val="right"/>
      <w:pPr>
        <w:ind w:left="4320" w:hanging="180"/>
      </w:pPr>
    </w:lvl>
    <w:lvl w:ilvl="6" w:tentative="1" w:tplc="0419000F">
      <w:start w:val="1"/>
      <w:numFmt w:val="decimal"/>
      <w:lvlText w:val="%7."/>
      <w:lvlJc w:val="left"/>
      <w:pPr>
        <w:ind w:left="5040" w:hanging="360"/>
      </w:pPr>
    </w:lvl>
    <w:lvl w:ilvl="7" w:tentative="1" w:tplc="04190019">
      <w:start w:val="1"/>
      <w:numFmt w:val="lowerLetter"/>
      <w:lvlText w:val="%8."/>
      <w:lvlJc w:val="left"/>
      <w:pPr>
        <w:ind w:left="5760" w:hanging="360"/>
      </w:pPr>
    </w:lvl>
    <w:lvl w:ilvl="8" w:tentative="1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regl12" w:customStyle="1">
    <w:name w:val="regl_12"/>
    <w:basedOn w:val="a"/>
    <w:pPr>
      <w:jc w:val="both"/>
    </w:pPr>
    <w:rPr>
      <w:sz w:val="28"/>
      <w:szCs w:val="24"/>
    </w:rPr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</w:style>
  <w:style w:type="character" w:styleId="a5" w:customStyle="1">
    <w:name w:val="Текст примечания Знак"/>
    <w:basedOn w:val="a0"/>
    <w:link w:val="a4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character" w:styleId="a7" w:customStyle="1">
    <w:name w:val="Тема примечания Знак"/>
    <w:basedOn w:val="a5"/>
    <w:link w:val="a6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a9" w:customStyle="1">
    <w:name w:val="Текст выноски Знак"/>
    <w:basedOn w:val="a0"/>
    <w:link w:val="a8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aa">
    <w:name w:val="footnote text"/>
    <w:basedOn w:val="a"/>
    <w:link w:val="ab"/>
    <w:semiHidden/>
    <w:unhideWhenUsed/>
  </w:style>
  <w:style w:type="character" w:styleId="ab" w:customStyle="1">
    <w:name w:val="Текст сноски Знак"/>
    <w:basedOn w:val="a0"/>
    <w:link w:val="aa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nhideWhenUsed/>
    <w:rPr>
      <w:vertAlign w:val="superscript"/>
    </w:rPr>
  </w:style>
  <w:style w:type="paragraph" w:styleId="Default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Title"/>
    <w:basedOn w:val="a"/>
    <w:link w:val="ae"/>
    <w:uiPriority w:val="99"/>
    <w:qFormat/>
    <w:pPr>
      <w:jc w:val="center"/>
    </w:pPr>
    <w:rPr>
      <w:rFonts w:ascii="Cambria" w:hAnsi="Cambria"/>
      <w:b/>
      <w:bCs/>
      <w:sz w:val="32"/>
      <w:szCs w:val="32"/>
      <w:lang w:eastAsia="en-US"/>
    </w:rPr>
  </w:style>
  <w:style w:type="character" w:styleId="af" w:customStyle="1">
    <w:name w:val="Заголовок Знак"/>
    <w:basedOn w:val="a0"/>
    <w:uiPriority w:val="10"/>
    <w:rPr>
      <w:rFonts w:asciiTheme="majorHAnsi" w:hAnsiTheme="majorHAnsi" w:eastAsiaTheme="majorEastAsia" w:cstheme="majorBidi"/>
      <w:spacing w:val="-10"/>
      <w:sz w:val="56"/>
      <w:szCs w:val="56"/>
      <w:lang w:eastAsia="ru-RU"/>
    </w:rPr>
  </w:style>
  <w:style w:type="character" w:styleId="ae" w:customStyle="1">
    <w:name w:val="Название Знак"/>
    <w:link w:val="ad"/>
    <w:uiPriority w:val="99"/>
    <w:rPr>
      <w:rFonts w:ascii="Cambria" w:hAnsi="Cambria" w:eastAsia="Times New Roman" w:cs="Times New Roman"/>
      <w:b/>
      <w:bCs/>
      <w:sz w:val="32"/>
      <w:szCs w:val="32"/>
    </w:rPr>
  </w:style>
  <w:style w:type="character" w:styleId="af0" w:customStyle="1">
    <w:name w:val="Основной текст_"/>
    <w:basedOn w:val="a0"/>
    <w:link w:val="1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1" w:customStyle="1">
    <w:name w:val="Основной текст1"/>
    <w:basedOn w:val="a"/>
    <w:link w:val="af0"/>
    <w:pPr>
      <w:widowControl w:val="off"/>
      <w:shd w:val="clear" w:color="auto" w:fill="ffffff"/>
      <w:ind w:firstLine="400"/>
    </w:pPr>
    <w:rPr>
      <w:sz w:val="26"/>
      <w:szCs w:val="26"/>
      <w:lang w:eastAsia="en-US"/>
    </w:rPr>
  </w:style>
  <w:style w:type="character" w:styleId="2" w:customStyle="1">
    <w:name w:val="Основной текст (2)_"/>
    <w:basedOn w:val="a0"/>
    <w:link w:val="20"/>
    <w:rPr>
      <w:rFonts w:ascii="Calibri" w:hAnsi="Calibri" w:eastAsia="Calibri" w:cs="Calibri"/>
      <w:shd w:val="clear" w:color="auto" w:fill="ffffff"/>
    </w:rPr>
  </w:style>
  <w:style w:type="paragraph" w:styleId="20" w:customStyle="1">
    <w:name w:val="Основной текст (2)"/>
    <w:basedOn w:val="a"/>
    <w:link w:val="2"/>
    <w:pPr>
      <w:widowControl w:val="off"/>
      <w:shd w:val="clear" w:color="auto" w:fill="ffffff"/>
      <w:spacing w:before="480" w:line="269" w:lineRule="exact"/>
      <w:jc w:val="both"/>
    </w:pPr>
    <w:rPr>
      <w:rFonts w:ascii="Calibri" w:hAnsi="Calibri" w:eastAsia="Calibri" w:cs="Calibri"/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wmf"/><Relationship Id="rId11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1E5D2-28FD-4349-8B50-EBD04763F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haracters>4749</Characters>
  <CharactersWithSpaces>5570</CharactersWithSpaces>
  <Company>diakov.net</Company>
  <DocSecurity>0</DocSecurity>
  <HyperlinksChanged>false</HyperlinksChanged>
  <Lines>39</Lines>
  <LinksUpToDate>false</LinksUpToDate>
  <Pages>2</Pages>
  <Paragraphs>11</Paragraphs>
  <ScaleCrop>false</ScaleCrop>
  <SharedDoc>false</SharedDoc>
  <Template>Normal</Template>
  <TotalTime>138</TotalTime>
  <Words>832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Рыбаков Дмитрий Олегович</dc:creator>
  <cp:lastModifiedBy>khilmanev</cp:lastModifiedBy>
  <cp:revision>22</cp:revision>
  <cp:lastPrinted>2023-01-16T07:03:00Z</cp:lastPrinted>
  <dcterms:created xsi:type="dcterms:W3CDTF">2023-02-16T06:03:00Z</dcterms:created>
  <dcterms:modified xsi:type="dcterms:W3CDTF">2023-04-21T13:21:00Z</dcterms:modified>
</cp:coreProperties>
</file>